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4409" w14:textId="77777777" w:rsidR="00202E85" w:rsidRPr="007E7069" w:rsidRDefault="00000000" w:rsidP="007E7069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c30061487de285e495dedca885fb51d1b95f361"/>
      <w:r w:rsidRPr="007E7069">
        <w:rPr>
          <w:rFonts w:ascii="Candara" w:hAnsi="Candara"/>
        </w:rPr>
        <w:t>PR-05: Postupanje po pritužbama i korektivnim radnjama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588"/>
        <w:gridCol w:w="4283"/>
      </w:tblGrid>
      <w:tr w:rsidR="00202E85" w:rsidRPr="007E7069" w14:paraId="357C0905" w14:textId="77777777" w:rsidTr="007E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732F80B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596291B1" w14:textId="77777777" w:rsidR="00202E85" w:rsidRPr="007E7069" w:rsidRDefault="00000000" w:rsidP="007E706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Vrijednost</w:t>
            </w:r>
          </w:p>
        </w:tc>
      </w:tr>
      <w:tr w:rsidR="00202E85" w:rsidRPr="007E7069" w14:paraId="1B246227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272D6DC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3AA9B227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PR-05-v1.0</w:t>
            </w:r>
          </w:p>
        </w:tc>
      </w:tr>
      <w:tr w:rsidR="00202E85" w:rsidRPr="007E7069" w14:paraId="41DC4844" w14:textId="77777777" w:rsidTr="007E7069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DD63FCB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7F5A2F7A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Interna procedura</w:t>
            </w:r>
          </w:p>
        </w:tc>
      </w:tr>
      <w:tr w:rsidR="00202E85" w:rsidRPr="007E7069" w14:paraId="2ED1311C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ACD3697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6DB4092F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1.0</w:t>
            </w:r>
          </w:p>
        </w:tc>
      </w:tr>
      <w:tr w:rsidR="00202E85" w:rsidRPr="007E7069" w14:paraId="57C45A87" w14:textId="77777777" w:rsidTr="007E7069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55BB57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Datum stupanja na snagu</w:t>
            </w:r>
          </w:p>
        </w:tc>
        <w:tc>
          <w:tcPr>
            <w:tcW w:w="0" w:type="auto"/>
          </w:tcPr>
          <w:p w14:paraId="3600CCFA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11. travnja 2026.</w:t>
            </w:r>
          </w:p>
        </w:tc>
      </w:tr>
      <w:tr w:rsidR="00202E85" w:rsidRPr="007E7069" w14:paraId="5F0E91D4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D1C05E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Vlasnik procedure</w:t>
            </w:r>
          </w:p>
        </w:tc>
        <w:tc>
          <w:tcPr>
            <w:tcW w:w="0" w:type="auto"/>
          </w:tcPr>
          <w:p w14:paraId="63CD8906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Voditelj prodajnog tima / Uprava ANO d.o.o.</w:t>
            </w:r>
          </w:p>
        </w:tc>
      </w:tr>
      <w:tr w:rsidR="00202E85" w:rsidRPr="007E7069" w14:paraId="1C7A4F60" w14:textId="77777777" w:rsidTr="007E7069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CFD6C60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0" w:type="auto"/>
          </w:tcPr>
          <w:p w14:paraId="31336A1B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Uprava ANO d.o.o.</w:t>
            </w:r>
          </w:p>
        </w:tc>
      </w:tr>
      <w:tr w:rsidR="00202E85" w:rsidRPr="007E7069" w14:paraId="0EC77026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B43C6E1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Sljedeća revizija</w:t>
            </w:r>
          </w:p>
        </w:tc>
        <w:tc>
          <w:tcPr>
            <w:tcW w:w="0" w:type="auto"/>
          </w:tcPr>
          <w:p w14:paraId="123177A3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Travanj 2027.</w:t>
            </w:r>
          </w:p>
        </w:tc>
      </w:tr>
    </w:tbl>
    <w:p w14:paraId="142623AB" w14:textId="5B64CC65" w:rsidR="00202E85" w:rsidRPr="007E7069" w:rsidRDefault="00202E85">
      <w:pPr>
        <w:rPr>
          <w:rFonts w:ascii="Candara" w:hAnsi="Candara"/>
        </w:rPr>
      </w:pPr>
    </w:p>
    <w:p w14:paraId="16332400" w14:textId="77777777" w:rsidR="00202E85" w:rsidRPr="007E7069" w:rsidRDefault="00000000" w:rsidP="007E7069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" w:name="svrha"/>
      <w:r w:rsidRPr="007E7069">
        <w:rPr>
          <w:rFonts w:ascii="Candara" w:hAnsi="Candara"/>
        </w:rPr>
        <w:t>1. Svrha</w:t>
      </w:r>
    </w:p>
    <w:p w14:paraId="5F200CF0" w14:textId="13449B34" w:rsidR="00202E85" w:rsidRPr="007E7069" w:rsidRDefault="00000000" w:rsidP="007E7069">
      <w:pPr>
        <w:rPr>
          <w:rFonts w:ascii="Candara" w:hAnsi="Candara"/>
        </w:rPr>
      </w:pPr>
      <w:r w:rsidRPr="007E7069">
        <w:rPr>
          <w:rFonts w:ascii="Candara" w:hAnsi="Candara"/>
        </w:rPr>
        <w:t>Svrha ove procedure je osigurati dosljedno, pravovremeno i nepristrano rješavanje svake pritužbe klijenta ili treće strane upućene ANO d.o.o., te provesti odgovarajuće korektivne radnje kojima se uklanjaju uzroci nezadovoljstva i sprječava ponavljanje propusta. Ova procedura dopunjuje i detaljizira Pravilnik o rješavanju pritužbi ANO d.o.o.</w:t>
      </w:r>
    </w:p>
    <w:p w14:paraId="6B9D2D53" w14:textId="77777777" w:rsidR="00202E85" w:rsidRPr="007E7069" w:rsidRDefault="00000000" w:rsidP="007E7069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2" w:name="područje-primjene"/>
      <w:bookmarkEnd w:id="1"/>
      <w:r w:rsidRPr="007E7069">
        <w:rPr>
          <w:rFonts w:ascii="Candara" w:hAnsi="Candara"/>
        </w:rPr>
        <w:t>2. Područje primjene</w:t>
      </w:r>
    </w:p>
    <w:p w14:paraId="52CDB9EF" w14:textId="4CA9A0F0" w:rsidR="00202E85" w:rsidRPr="007E7069" w:rsidRDefault="00000000" w:rsidP="007E7069">
      <w:pPr>
        <w:rPr>
          <w:rFonts w:ascii="Candara" w:hAnsi="Candara"/>
        </w:rPr>
      </w:pPr>
      <w:r w:rsidRPr="007E7069">
        <w:rPr>
          <w:rFonts w:ascii="Candara" w:hAnsi="Candara"/>
        </w:rPr>
        <w:t>Ova procedura primjenjuje se na: - sve pritužbe zaprimljene od klijenata ANO-a, - pritužbe zaprimljene putem HANFA-e ili drugog nadležnog tijela, - interne uočene propuste u pružanju usluge koji zahtijevaju korektivnu radnju, - pritužbe trećih strana u svezi s ANO-ovim poslovanjem.</w:t>
      </w:r>
    </w:p>
    <w:p w14:paraId="3962D58C" w14:textId="77777777" w:rsidR="00202E85" w:rsidRPr="007E7069" w:rsidRDefault="00000000" w:rsidP="007E7069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3" w:name="definicije-i-kratice"/>
      <w:bookmarkEnd w:id="2"/>
      <w:r w:rsidRPr="007E7069">
        <w:rPr>
          <w:rFonts w:ascii="Candara" w:hAnsi="Candara"/>
        </w:rPr>
        <w:t>3. Definicije i kratice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202E85" w:rsidRPr="007E7069" w14:paraId="47B81E8C" w14:textId="77777777" w:rsidTr="007E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FA73FE4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Pojam</w:t>
            </w:r>
          </w:p>
        </w:tc>
        <w:tc>
          <w:tcPr>
            <w:tcW w:w="5002" w:type="dxa"/>
          </w:tcPr>
          <w:p w14:paraId="6E4AD41C" w14:textId="77777777" w:rsidR="00202E85" w:rsidRPr="007E7069" w:rsidRDefault="00000000" w:rsidP="007E706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Definicija</w:t>
            </w:r>
          </w:p>
        </w:tc>
      </w:tr>
      <w:tr w:rsidR="00202E85" w:rsidRPr="007E7069" w14:paraId="4DDC14E3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D78BBBE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Pritužba</w:t>
            </w:r>
          </w:p>
        </w:tc>
        <w:tc>
          <w:tcPr>
            <w:tcW w:w="5002" w:type="dxa"/>
          </w:tcPr>
          <w:p w14:paraId="1BC774E4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Svako pisano ili usmeno nezadovoljstvo klijenta ili treće strane u svezi s uslugom, postupanjem ili dokumentacijom ANO-a</w:t>
            </w:r>
          </w:p>
        </w:tc>
      </w:tr>
      <w:tr w:rsidR="00202E85" w:rsidRPr="007E7069" w14:paraId="7D7DE968" w14:textId="77777777" w:rsidTr="007E70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F1A1BF0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Korektivna radnja</w:t>
            </w:r>
          </w:p>
        </w:tc>
        <w:tc>
          <w:tcPr>
            <w:tcW w:w="5002" w:type="dxa"/>
          </w:tcPr>
          <w:p w14:paraId="77AE86FF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Mjera poduzeta radi uklanjanja uzroka utvrđenog propusta</w:t>
            </w:r>
          </w:p>
        </w:tc>
      </w:tr>
      <w:tr w:rsidR="00202E85" w:rsidRPr="007E7069" w14:paraId="1ED1A80B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27035E3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Preventivna radnja</w:t>
            </w:r>
          </w:p>
        </w:tc>
        <w:tc>
          <w:tcPr>
            <w:tcW w:w="5002" w:type="dxa"/>
          </w:tcPr>
          <w:p w14:paraId="05D03017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Mjera poduzeta radi sprječavanja mogućeg budućeg propusta</w:t>
            </w:r>
          </w:p>
        </w:tc>
      </w:tr>
      <w:tr w:rsidR="00202E85" w:rsidRPr="007E7069" w14:paraId="4952B208" w14:textId="77777777" w:rsidTr="007E70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C285E9F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HANFA</w:t>
            </w:r>
          </w:p>
        </w:tc>
        <w:tc>
          <w:tcPr>
            <w:tcW w:w="5002" w:type="dxa"/>
          </w:tcPr>
          <w:p w14:paraId="63C2F58B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Hrvatska agencija za nadzor financijskih usluga</w:t>
            </w:r>
          </w:p>
        </w:tc>
      </w:tr>
      <w:tr w:rsidR="00202E85" w:rsidRPr="007E7069" w14:paraId="60631F94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484C343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Registar pritužbi</w:t>
            </w:r>
          </w:p>
        </w:tc>
        <w:tc>
          <w:tcPr>
            <w:tcW w:w="5002" w:type="dxa"/>
          </w:tcPr>
          <w:p w14:paraId="74439975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Interna evidencija svih zaprimljenih pritužbi</w:t>
            </w:r>
          </w:p>
        </w:tc>
      </w:tr>
    </w:tbl>
    <w:p w14:paraId="55BF5731" w14:textId="15880EA5" w:rsidR="00202E85" w:rsidRPr="007E7069" w:rsidRDefault="00202E85">
      <w:pPr>
        <w:rPr>
          <w:rFonts w:ascii="Candara" w:hAnsi="Candara"/>
        </w:rPr>
      </w:pPr>
    </w:p>
    <w:p w14:paraId="360AD441" w14:textId="77777777" w:rsidR="007E7069" w:rsidRDefault="007E7069">
      <w:pPr>
        <w:spacing w:after="160" w:line="259" w:lineRule="auto"/>
        <w:jc w:val="left"/>
        <w:rPr>
          <w:rFonts w:ascii="Candara" w:eastAsiaTheme="majorEastAsia" w:hAnsi="Candara" w:cstheme="majorBidi"/>
          <w:b/>
          <w:smallCaps/>
          <w:color w:val="00A0DE"/>
          <w:sz w:val="32"/>
          <w:szCs w:val="32"/>
        </w:rPr>
      </w:pPr>
      <w:bookmarkStart w:id="4" w:name="odgovornosti"/>
      <w:bookmarkEnd w:id="3"/>
      <w:r>
        <w:rPr>
          <w:rFonts w:ascii="Candara" w:hAnsi="Candara"/>
        </w:rPr>
        <w:br w:type="page"/>
      </w:r>
    </w:p>
    <w:p w14:paraId="2880D841" w14:textId="2E921A61" w:rsidR="00202E85" w:rsidRPr="007E7069" w:rsidRDefault="00000000" w:rsidP="007E7069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r w:rsidRPr="007E7069">
        <w:rPr>
          <w:rFonts w:ascii="Candara" w:hAnsi="Candara"/>
        </w:rPr>
        <w:lastRenderedPageBreak/>
        <w:t>4. Odgovornosti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172"/>
        <w:gridCol w:w="5890"/>
      </w:tblGrid>
      <w:tr w:rsidR="00202E85" w:rsidRPr="007E7069" w14:paraId="1AF1EA3C" w14:textId="77777777" w:rsidTr="007E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71F50D34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Uloga</w:t>
            </w:r>
          </w:p>
        </w:tc>
        <w:tc>
          <w:tcPr>
            <w:tcW w:w="5148" w:type="dxa"/>
          </w:tcPr>
          <w:p w14:paraId="61086AB1" w14:textId="77777777" w:rsidR="00202E85" w:rsidRPr="007E7069" w:rsidRDefault="00000000" w:rsidP="007E706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Odgovornost</w:t>
            </w:r>
          </w:p>
        </w:tc>
      </w:tr>
      <w:tr w:rsidR="00202E85" w:rsidRPr="007E7069" w14:paraId="4D709C34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4DB3C2C8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Svaki zaposlenik ANO-a</w:t>
            </w:r>
          </w:p>
        </w:tc>
        <w:tc>
          <w:tcPr>
            <w:tcW w:w="5148" w:type="dxa"/>
          </w:tcPr>
          <w:p w14:paraId="04445B56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Zaprimanje i prosljeđivanje pritužbe nadležnoj osobi istog radnog dana</w:t>
            </w:r>
          </w:p>
        </w:tc>
      </w:tr>
      <w:tr w:rsidR="00202E85" w:rsidRPr="007E7069" w14:paraId="6EA46E71" w14:textId="77777777" w:rsidTr="007E70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742545F0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Account manager / broker</w:t>
            </w:r>
          </w:p>
        </w:tc>
        <w:tc>
          <w:tcPr>
            <w:tcW w:w="5148" w:type="dxa"/>
          </w:tcPr>
          <w:p w14:paraId="54F8FA3A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Inicijalna obrada i kontakt s klijentom, prikupljanje činjenica</w:t>
            </w:r>
          </w:p>
        </w:tc>
      </w:tr>
      <w:tr w:rsidR="00202E85" w:rsidRPr="007E7069" w14:paraId="6BC56399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352DCA0E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Voditelj tima</w:t>
            </w:r>
          </w:p>
        </w:tc>
        <w:tc>
          <w:tcPr>
            <w:tcW w:w="5148" w:type="dxa"/>
          </w:tcPr>
          <w:p w14:paraId="38AD4F3B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Nadzor rješavanja, donošenje odluke o odgovoru za pritužbe u nadležnosti tima</w:t>
            </w:r>
          </w:p>
        </w:tc>
      </w:tr>
      <w:tr w:rsidR="00202E85" w:rsidRPr="007E7069" w14:paraId="7764EF03" w14:textId="77777777" w:rsidTr="007E70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0E8AC445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Uprava ANO d.o.o.</w:t>
            </w:r>
          </w:p>
        </w:tc>
        <w:tc>
          <w:tcPr>
            <w:tcW w:w="5148" w:type="dxa"/>
          </w:tcPr>
          <w:p w14:paraId="7C983CE4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Donošenje odluke o odgovoru za složene/eskalacijske pritužbe, nadzor korektivnih radnji, komunikacija s HANFA-om</w:t>
            </w:r>
          </w:p>
        </w:tc>
      </w:tr>
    </w:tbl>
    <w:p w14:paraId="76322D6A" w14:textId="587D935C" w:rsidR="00202E85" w:rsidRPr="007E7069" w:rsidRDefault="00202E85">
      <w:pPr>
        <w:rPr>
          <w:rFonts w:ascii="Candara" w:hAnsi="Candara"/>
        </w:rPr>
      </w:pPr>
    </w:p>
    <w:p w14:paraId="7E0527ED" w14:textId="77777777" w:rsidR="00202E85" w:rsidRPr="007E7069" w:rsidRDefault="00000000" w:rsidP="007E7069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5" w:name="opis-postupka"/>
      <w:bookmarkEnd w:id="4"/>
      <w:r w:rsidRPr="007E7069">
        <w:rPr>
          <w:rFonts w:ascii="Candara" w:hAnsi="Candara"/>
        </w:rPr>
        <w:t>5. Opis postupka</w:t>
      </w:r>
    </w:p>
    <w:p w14:paraId="26D9A902" w14:textId="77777777" w:rsidR="00202E85" w:rsidRPr="007E7069" w:rsidRDefault="00000000" w:rsidP="007E7069">
      <w:pPr>
        <w:pStyle w:val="Heading2"/>
        <w:numPr>
          <w:ilvl w:val="0"/>
          <w:numId w:val="0"/>
        </w:numPr>
      </w:pPr>
      <w:bookmarkStart w:id="6" w:name="zaprimanje-pritužbe"/>
      <w:r w:rsidRPr="007E7069">
        <w:t>5.1 Zaprimanje pritužbe</w:t>
      </w:r>
    </w:p>
    <w:p w14:paraId="07357996" w14:textId="77777777" w:rsidR="00202E85" w:rsidRPr="007E7069" w:rsidRDefault="00000000">
      <w:pPr>
        <w:rPr>
          <w:rFonts w:ascii="Candara" w:hAnsi="Candara"/>
        </w:rPr>
      </w:pPr>
      <w:r w:rsidRPr="007E7069">
        <w:rPr>
          <w:rFonts w:ascii="Candara" w:hAnsi="Candara"/>
          <w:b/>
          <w:bCs/>
        </w:rPr>
        <w:t>Kanali zaprimanja</w:t>
      </w:r>
      <w:r w:rsidRPr="007E7069">
        <w:rPr>
          <w:rFonts w:ascii="Candara" w:hAnsi="Candara"/>
        </w:rPr>
        <w:t xml:space="preserve"> - Pritužbe se mogu podnijeti pisanim putem (e-mail, pošta), telefonom, osobno ili putem internetske stranice ANO-a. - Svaki zaposlenik koji primi pritužbu dužan je: 1. Primiti i evidentirati pritužbu s datumom, imenom podnositelja i opisom sadržaja. 2. Prosljediti je voditelju tima ili Upravi istog radnog dana. 3. Nikada ne odbiti zaprimanje pritužbe niti komunicirati klijentu da pritužba nije opravdana bez prethodne analize.</w:t>
      </w:r>
    </w:p>
    <w:p w14:paraId="1B14E8F7" w14:textId="3F982E05" w:rsidR="00202E85" w:rsidRDefault="00000000" w:rsidP="007E7069">
      <w:pPr>
        <w:pStyle w:val="BodyText"/>
        <w:ind w:right="0"/>
        <w:rPr>
          <w:rFonts w:ascii="Candara" w:hAnsi="Candara"/>
          <w:sz w:val="22"/>
          <w:szCs w:val="18"/>
        </w:rPr>
      </w:pPr>
      <w:r w:rsidRPr="007E7069">
        <w:rPr>
          <w:rFonts w:ascii="Candara" w:hAnsi="Candara"/>
          <w:b/>
          <w:bCs/>
          <w:sz w:val="22"/>
          <w:szCs w:val="18"/>
        </w:rPr>
        <w:t>Potvrda primitka</w:t>
      </w:r>
      <w:r w:rsidRPr="007E7069">
        <w:rPr>
          <w:rFonts w:ascii="Candara" w:hAnsi="Candara"/>
          <w:sz w:val="22"/>
          <w:szCs w:val="18"/>
        </w:rPr>
        <w:t xml:space="preserve"> - U roku od jednog (1) radnog dana od zaprimanja, klijentu se šalje pisana potvrda primitka pritužbe s: - internim brojem predmeta, - imenom osobe zadužene za obradu, - informacijom o okvirnom roku rješavanja.</w:t>
      </w:r>
    </w:p>
    <w:p w14:paraId="01411077" w14:textId="77777777" w:rsidR="007E7069" w:rsidRPr="007E7069" w:rsidRDefault="007E7069" w:rsidP="007E7069">
      <w:pPr>
        <w:pStyle w:val="BodyText"/>
        <w:ind w:right="0"/>
        <w:rPr>
          <w:rFonts w:ascii="Candara" w:hAnsi="Candara"/>
          <w:sz w:val="22"/>
          <w:szCs w:val="18"/>
        </w:rPr>
      </w:pPr>
    </w:p>
    <w:p w14:paraId="0C3A0CC6" w14:textId="77777777" w:rsidR="00202E85" w:rsidRPr="007E7069" w:rsidRDefault="00000000" w:rsidP="007E7069">
      <w:pPr>
        <w:pStyle w:val="Heading2"/>
        <w:numPr>
          <w:ilvl w:val="0"/>
          <w:numId w:val="0"/>
        </w:numPr>
      </w:pPr>
      <w:bookmarkStart w:id="7" w:name="registracija-u-registar-pritužbi"/>
      <w:bookmarkEnd w:id="6"/>
      <w:r w:rsidRPr="007E7069">
        <w:t>5.2 Registracija u Registar pritužbi</w:t>
      </w:r>
    </w:p>
    <w:p w14:paraId="2A08AE85" w14:textId="77777777" w:rsidR="00202E85" w:rsidRPr="007E7069" w:rsidRDefault="00000000">
      <w:pPr>
        <w:numPr>
          <w:ilvl w:val="0"/>
          <w:numId w:val="12"/>
        </w:numPr>
        <w:rPr>
          <w:rFonts w:ascii="Candara" w:hAnsi="Candara"/>
        </w:rPr>
      </w:pPr>
      <w:r w:rsidRPr="007E7069">
        <w:rPr>
          <w:rFonts w:ascii="Candara" w:hAnsi="Candara"/>
        </w:rPr>
        <w:t>Svaka pritužba upisuje se u Registar pritužbi (Obrazac PR-05-01) koji se vodi u Fidelisu ili na SharePointu.</w:t>
      </w:r>
    </w:p>
    <w:p w14:paraId="2A1BECB3" w14:textId="77777777" w:rsidR="00202E85" w:rsidRPr="007E7069" w:rsidRDefault="00000000">
      <w:pPr>
        <w:numPr>
          <w:ilvl w:val="0"/>
          <w:numId w:val="12"/>
        </w:numPr>
        <w:rPr>
          <w:rFonts w:ascii="Candara" w:hAnsi="Candara"/>
        </w:rPr>
      </w:pPr>
      <w:r w:rsidRPr="007E7069">
        <w:rPr>
          <w:rFonts w:ascii="Candara" w:hAnsi="Candara"/>
        </w:rPr>
        <w:t>Registar sadrži: broj predmeta, datum zaprimanja, podnositelja, opis pritužbe, kategoriju, status, odgovornu osobu, datum i sadržaj odgovora, ishod.</w:t>
      </w:r>
    </w:p>
    <w:p w14:paraId="1A3441C2" w14:textId="121985F5" w:rsidR="00202E85" w:rsidRDefault="00000000" w:rsidP="007E7069">
      <w:pPr>
        <w:numPr>
          <w:ilvl w:val="0"/>
          <w:numId w:val="12"/>
        </w:numPr>
        <w:rPr>
          <w:rFonts w:ascii="Candara" w:hAnsi="Candara"/>
        </w:rPr>
      </w:pPr>
      <w:r w:rsidRPr="007E7069">
        <w:rPr>
          <w:rFonts w:ascii="Candara" w:hAnsi="Candara"/>
        </w:rPr>
        <w:t>Registar ažurira voditelj tima ili Uprava.</w:t>
      </w:r>
    </w:p>
    <w:p w14:paraId="5A5076EF" w14:textId="77777777" w:rsidR="007E7069" w:rsidRPr="007E7069" w:rsidRDefault="007E7069" w:rsidP="007E7069">
      <w:pPr>
        <w:rPr>
          <w:rFonts w:ascii="Candara" w:hAnsi="Candara"/>
        </w:rPr>
      </w:pPr>
    </w:p>
    <w:p w14:paraId="61CB7323" w14:textId="77777777" w:rsidR="00202E85" w:rsidRPr="007E7069" w:rsidRDefault="00000000" w:rsidP="007E7069">
      <w:pPr>
        <w:pStyle w:val="Heading2"/>
        <w:numPr>
          <w:ilvl w:val="0"/>
          <w:numId w:val="0"/>
        </w:numPr>
      </w:pPr>
      <w:bookmarkStart w:id="8" w:name="analiza-pritužbe"/>
      <w:bookmarkEnd w:id="7"/>
      <w:r w:rsidRPr="007E7069">
        <w:t>5.3 Analiza pritužbe</w:t>
      </w:r>
    </w:p>
    <w:p w14:paraId="550CE061" w14:textId="77777777" w:rsidR="00202E85" w:rsidRPr="007E7069" w:rsidRDefault="00000000">
      <w:pPr>
        <w:rPr>
          <w:rFonts w:ascii="Candara" w:hAnsi="Candara"/>
        </w:rPr>
      </w:pPr>
      <w:r w:rsidRPr="007E7069">
        <w:rPr>
          <w:rFonts w:ascii="Candara" w:hAnsi="Candara"/>
          <w:b/>
          <w:bCs/>
        </w:rPr>
        <w:t>Korak 1 – Prikupljanje činjenica</w:t>
      </w:r>
      <w:r w:rsidRPr="007E7069">
        <w:rPr>
          <w:rFonts w:ascii="Candara" w:hAnsi="Candara"/>
        </w:rPr>
        <w:t xml:space="preserve"> - Odgovorna osoba prikuplja sve relevantne informacije i dokumentaciju vezanu uz pritužbu: e-mailove, zapise u Fidelisu, police, prepiske, zapisnike.</w:t>
      </w:r>
    </w:p>
    <w:p w14:paraId="6A08BAD5" w14:textId="77777777" w:rsidR="00202E85" w:rsidRPr="007E7069" w:rsidRDefault="00000000" w:rsidP="007E7069">
      <w:pPr>
        <w:pStyle w:val="BodyText"/>
        <w:ind w:right="0"/>
        <w:rPr>
          <w:rFonts w:ascii="Candara" w:hAnsi="Candara"/>
          <w:sz w:val="22"/>
          <w:szCs w:val="18"/>
        </w:rPr>
      </w:pPr>
      <w:r w:rsidRPr="007E7069">
        <w:rPr>
          <w:rFonts w:ascii="Candara" w:hAnsi="Candara"/>
          <w:b/>
          <w:bCs/>
          <w:sz w:val="22"/>
          <w:szCs w:val="18"/>
        </w:rPr>
        <w:t>Korak 2 – Klasifikacija pritužbe</w:t>
      </w:r>
      <w:r w:rsidRPr="007E7069">
        <w:rPr>
          <w:rFonts w:ascii="Candara" w:hAnsi="Candara"/>
          <w:sz w:val="22"/>
          <w:szCs w:val="18"/>
        </w:rPr>
        <w:t xml:space="preserve"> - Pritužba se klasificira prema kategoriji: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972"/>
        <w:gridCol w:w="3069"/>
        <w:gridCol w:w="3021"/>
      </w:tblGrid>
      <w:tr w:rsidR="00202E85" w:rsidRPr="007E7069" w14:paraId="2B5EF34F" w14:textId="77777777" w:rsidTr="007E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6BF47629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Kategorija</w:t>
            </w:r>
          </w:p>
        </w:tc>
        <w:tc>
          <w:tcPr>
            <w:tcW w:w="3069" w:type="dxa"/>
          </w:tcPr>
          <w:p w14:paraId="1C65FB9B" w14:textId="77777777" w:rsidR="00202E85" w:rsidRPr="007E7069" w:rsidRDefault="00000000" w:rsidP="007E706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Opis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14:paraId="0F7234C4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Primjer</w:t>
            </w:r>
          </w:p>
        </w:tc>
      </w:tr>
      <w:tr w:rsidR="00202E85" w:rsidRPr="007E7069" w14:paraId="1095D927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74A8E8B3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A – Proceduralni propust</w:t>
            </w:r>
          </w:p>
        </w:tc>
        <w:tc>
          <w:tcPr>
            <w:tcW w:w="3069" w:type="dxa"/>
          </w:tcPr>
          <w:p w14:paraId="0EF4146A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Kašnjenje, pogreška u dokumentaciji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14:paraId="44BFE3E0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Kasno dostavljanje police</w:t>
            </w:r>
          </w:p>
        </w:tc>
      </w:tr>
      <w:tr w:rsidR="00202E85" w:rsidRPr="007E7069" w14:paraId="611052F3" w14:textId="77777777" w:rsidTr="007E70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5FB8594D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B – Komunikacijski propust</w:t>
            </w:r>
          </w:p>
        </w:tc>
        <w:tc>
          <w:tcPr>
            <w:tcW w:w="3069" w:type="dxa"/>
          </w:tcPr>
          <w:p w14:paraId="3E46B84A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Neodgovaranje, nejasna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14:paraId="3A18B624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Ne javljanje na upite klijenta</w:t>
            </w:r>
          </w:p>
        </w:tc>
      </w:tr>
      <w:tr w:rsidR="00202E85" w:rsidRPr="007E7069" w14:paraId="1D62D37B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4A4B263E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C – Stručni propust</w:t>
            </w:r>
          </w:p>
        </w:tc>
        <w:tc>
          <w:tcPr>
            <w:tcW w:w="3069" w:type="dxa"/>
          </w:tcPr>
          <w:p w14:paraId="4006FCED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Pogrešna preporuka, nepotpuna analiza rizika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14:paraId="6721F938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Pogrešno pokriće, propušteno pokriće</w:t>
            </w:r>
          </w:p>
        </w:tc>
      </w:tr>
      <w:tr w:rsidR="00202E85" w:rsidRPr="007E7069" w14:paraId="622B191B" w14:textId="77777777" w:rsidTr="007E70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7357CC01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lastRenderedPageBreak/>
              <w:t>D – Pritužba na osiguratelja</w:t>
            </w:r>
          </w:p>
        </w:tc>
        <w:tc>
          <w:tcPr>
            <w:tcW w:w="3069" w:type="dxa"/>
          </w:tcPr>
          <w:p w14:paraId="0A3A36A8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Klijent nezadovoljan odlukom osiguratelja, ANO posreduje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14:paraId="764F7AE8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Niska odšteta, odbijanje isplate</w:t>
            </w:r>
          </w:p>
        </w:tc>
      </w:tr>
      <w:tr w:rsidR="00202E85" w:rsidRPr="007E7069" w14:paraId="310AFFEC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2A6F0032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  <w:b/>
                <w:bCs/>
              </w:rPr>
              <w:t>E – Regulatorna pritužba</w:t>
            </w:r>
          </w:p>
        </w:tc>
        <w:tc>
          <w:tcPr>
            <w:tcW w:w="3069" w:type="dxa"/>
          </w:tcPr>
          <w:p w14:paraId="7F673A67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Pritužba putem HANFA-e ili sudskog puta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1" w:type="dxa"/>
          </w:tcPr>
          <w:p w14:paraId="3638831F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Formalna pritužba regulatoru</w:t>
            </w:r>
          </w:p>
        </w:tc>
      </w:tr>
    </w:tbl>
    <w:p w14:paraId="7C848723" w14:textId="77777777" w:rsidR="007E7069" w:rsidRDefault="007E7069" w:rsidP="007E7069">
      <w:pPr>
        <w:pStyle w:val="BodyText"/>
        <w:ind w:right="0"/>
        <w:rPr>
          <w:rFonts w:ascii="Candara" w:hAnsi="Candara"/>
          <w:b/>
          <w:bCs/>
          <w:sz w:val="22"/>
          <w:szCs w:val="18"/>
        </w:rPr>
      </w:pPr>
    </w:p>
    <w:p w14:paraId="0E08DB67" w14:textId="5A369F27" w:rsidR="00202E85" w:rsidRPr="007E7069" w:rsidRDefault="00000000" w:rsidP="007E7069">
      <w:pPr>
        <w:pStyle w:val="BodyText"/>
        <w:ind w:right="0"/>
        <w:rPr>
          <w:rFonts w:ascii="Candara" w:hAnsi="Candara"/>
          <w:sz w:val="22"/>
          <w:szCs w:val="18"/>
        </w:rPr>
      </w:pPr>
      <w:r w:rsidRPr="007E7069">
        <w:rPr>
          <w:rFonts w:ascii="Candara" w:hAnsi="Candara"/>
          <w:b/>
          <w:bCs/>
          <w:sz w:val="22"/>
          <w:szCs w:val="18"/>
        </w:rPr>
        <w:t>Korak 3 – Procjena osnovanosti</w:t>
      </w:r>
      <w:r w:rsidRPr="007E7069">
        <w:rPr>
          <w:rFonts w:ascii="Candara" w:hAnsi="Candara"/>
          <w:sz w:val="22"/>
          <w:szCs w:val="18"/>
        </w:rPr>
        <w:t xml:space="preserve"> - Odgovorna osoba procjenjuje je li pritužba osnovana, djelomično osnovana ili neosnovana. - Procjena se provodi nepristrano, a klijentu se ne prejudicira ishod.</w:t>
      </w:r>
    </w:p>
    <w:p w14:paraId="04D5A9A8" w14:textId="50F90E05" w:rsidR="00202E85" w:rsidRPr="007E7069" w:rsidRDefault="00202E85">
      <w:pPr>
        <w:rPr>
          <w:rFonts w:ascii="Candara" w:hAnsi="Candara"/>
        </w:rPr>
      </w:pPr>
    </w:p>
    <w:p w14:paraId="13DA3E18" w14:textId="77777777" w:rsidR="00202E85" w:rsidRPr="007E7069" w:rsidRDefault="00000000" w:rsidP="007E7069">
      <w:pPr>
        <w:pStyle w:val="Heading2"/>
        <w:numPr>
          <w:ilvl w:val="0"/>
          <w:numId w:val="0"/>
        </w:numPr>
      </w:pPr>
      <w:bookmarkStart w:id="9" w:name="rješavanje-pritužbe"/>
      <w:bookmarkEnd w:id="8"/>
      <w:r w:rsidRPr="007E7069">
        <w:t>5.4 Rješavanje pritužbe</w:t>
      </w:r>
    </w:p>
    <w:p w14:paraId="368CCAB4" w14:textId="77777777" w:rsidR="00202E85" w:rsidRPr="007E7069" w:rsidRDefault="00000000">
      <w:pPr>
        <w:rPr>
          <w:rFonts w:ascii="Candara" w:hAnsi="Candara"/>
        </w:rPr>
      </w:pPr>
      <w:r w:rsidRPr="007E7069">
        <w:rPr>
          <w:rFonts w:ascii="Candara" w:hAnsi="Candara"/>
          <w:b/>
          <w:bCs/>
        </w:rPr>
        <w:t>Rok za rješavanje</w:t>
      </w:r>
    </w:p>
    <w:tbl>
      <w:tblPr>
        <w:tblStyle w:val="GridTable4-Accent5"/>
        <w:tblW w:w="0" w:type="auto"/>
        <w:tblLook w:val="0020" w:firstRow="1" w:lastRow="0" w:firstColumn="0" w:lastColumn="0" w:noHBand="0" w:noVBand="0"/>
      </w:tblPr>
      <w:tblGrid>
        <w:gridCol w:w="3617"/>
        <w:gridCol w:w="4335"/>
      </w:tblGrid>
      <w:tr w:rsidR="00202E85" w:rsidRPr="007E7069" w14:paraId="388B124D" w14:textId="77777777" w:rsidTr="007E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4926C5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Kategorija</w:t>
            </w:r>
          </w:p>
        </w:tc>
        <w:tc>
          <w:tcPr>
            <w:tcW w:w="0" w:type="auto"/>
          </w:tcPr>
          <w:p w14:paraId="5B612310" w14:textId="77777777" w:rsidR="00202E85" w:rsidRPr="007E7069" w:rsidRDefault="00000000" w:rsidP="007E706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Rok za finalni odgovor</w:t>
            </w:r>
          </w:p>
        </w:tc>
      </w:tr>
      <w:tr w:rsidR="00202E85" w:rsidRPr="007E7069" w14:paraId="623B1FAE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A49E69E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A i B</w:t>
            </w:r>
          </w:p>
        </w:tc>
        <w:tc>
          <w:tcPr>
            <w:tcW w:w="0" w:type="auto"/>
          </w:tcPr>
          <w:p w14:paraId="102122A7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8 radnih dana</w:t>
            </w:r>
          </w:p>
        </w:tc>
      </w:tr>
      <w:tr w:rsidR="00202E85" w:rsidRPr="007E7069" w14:paraId="3B78C78D" w14:textId="77777777" w:rsidTr="007E70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13B4D33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C</w:t>
            </w:r>
          </w:p>
        </w:tc>
        <w:tc>
          <w:tcPr>
            <w:tcW w:w="0" w:type="auto"/>
          </w:tcPr>
          <w:p w14:paraId="2B0D6217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15 radnih dana</w:t>
            </w:r>
          </w:p>
        </w:tc>
      </w:tr>
      <w:tr w:rsidR="00202E85" w:rsidRPr="007E7069" w14:paraId="41AAA7A5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38C32BB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D (posredovanje prema osiguratelju)</w:t>
            </w:r>
          </w:p>
        </w:tc>
        <w:tc>
          <w:tcPr>
            <w:tcW w:w="0" w:type="auto"/>
          </w:tcPr>
          <w:p w14:paraId="548306D9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30 dana</w:t>
            </w:r>
          </w:p>
        </w:tc>
      </w:tr>
      <w:tr w:rsidR="00202E85" w:rsidRPr="007E7069" w14:paraId="017D23F6" w14:textId="77777777" w:rsidTr="007E70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AEE4599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E (regulatorna)</w:t>
            </w:r>
          </w:p>
        </w:tc>
        <w:tc>
          <w:tcPr>
            <w:tcW w:w="0" w:type="auto"/>
          </w:tcPr>
          <w:p w14:paraId="31F0E490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Prema zahtjevu HANFA-e, najkasnije 30 dana</w:t>
            </w:r>
          </w:p>
        </w:tc>
      </w:tr>
    </w:tbl>
    <w:p w14:paraId="03C6D5E5" w14:textId="77777777" w:rsidR="007E7069" w:rsidRDefault="007E7069">
      <w:pPr>
        <w:pStyle w:val="BodyText"/>
        <w:rPr>
          <w:rFonts w:ascii="Candara" w:hAnsi="Candara"/>
          <w:b/>
          <w:bCs/>
        </w:rPr>
      </w:pPr>
    </w:p>
    <w:p w14:paraId="38D937F5" w14:textId="324E6008" w:rsidR="00202E85" w:rsidRPr="007E7069" w:rsidRDefault="00000000" w:rsidP="007E7069">
      <w:pPr>
        <w:pStyle w:val="BodyText"/>
        <w:ind w:right="0"/>
        <w:rPr>
          <w:rFonts w:ascii="Candara" w:hAnsi="Candara"/>
          <w:sz w:val="22"/>
          <w:szCs w:val="18"/>
        </w:rPr>
      </w:pPr>
      <w:r w:rsidRPr="007E7069">
        <w:rPr>
          <w:rFonts w:ascii="Candara" w:hAnsi="Candara"/>
          <w:b/>
          <w:bCs/>
          <w:sz w:val="22"/>
          <w:szCs w:val="18"/>
        </w:rPr>
        <w:t>Korak 4 – Priprema odgovora</w:t>
      </w:r>
      <w:r w:rsidRPr="007E7069">
        <w:rPr>
          <w:rFonts w:ascii="Candara" w:hAnsi="Candara"/>
          <w:sz w:val="22"/>
          <w:szCs w:val="18"/>
        </w:rPr>
        <w:t xml:space="preserve"> - Odgovorna osoba priprema pisani odgovor koji: - potvrđuje ili odbija osnovanost pritužbe s jasnim obrazloženjem, - navodi poduzete ili planirane mjere, - informira klijenta o mogućnosti daljnjih pravnih koraka ako nije zadovoljan odgovorom (obraćanje HANFA-i). - Za pritužbe kategorija C i E, odgovor odobrava Uprava ANO-a.</w:t>
      </w:r>
    </w:p>
    <w:p w14:paraId="00449690" w14:textId="77777777" w:rsidR="00202E85" w:rsidRPr="007E7069" w:rsidRDefault="00000000" w:rsidP="007E7069">
      <w:pPr>
        <w:pStyle w:val="BodyText"/>
        <w:ind w:right="0"/>
        <w:rPr>
          <w:rFonts w:ascii="Candara" w:hAnsi="Candara"/>
          <w:sz w:val="22"/>
          <w:szCs w:val="18"/>
        </w:rPr>
      </w:pPr>
      <w:r w:rsidRPr="007E7069">
        <w:rPr>
          <w:rFonts w:ascii="Candara" w:hAnsi="Candara"/>
          <w:b/>
          <w:bCs/>
          <w:sz w:val="22"/>
          <w:szCs w:val="18"/>
        </w:rPr>
        <w:t>Korak 5 – Dostava odgovora klijentu</w:t>
      </w:r>
      <w:r w:rsidRPr="007E7069">
        <w:rPr>
          <w:rFonts w:ascii="Candara" w:hAnsi="Candara"/>
          <w:sz w:val="22"/>
          <w:szCs w:val="18"/>
        </w:rPr>
        <w:t xml:space="preserve"> - Finalni odgovor dostavlja se klijentu pisanim putem (e-mail ili preporučena pošta).</w:t>
      </w:r>
    </w:p>
    <w:p w14:paraId="6250C81C" w14:textId="142F5842" w:rsidR="00202E85" w:rsidRPr="007E7069" w:rsidRDefault="00202E85">
      <w:pPr>
        <w:rPr>
          <w:rFonts w:ascii="Candara" w:hAnsi="Candara"/>
        </w:rPr>
      </w:pPr>
    </w:p>
    <w:p w14:paraId="5019C40C" w14:textId="77777777" w:rsidR="00202E85" w:rsidRPr="007E7069" w:rsidRDefault="00000000" w:rsidP="007E7069">
      <w:pPr>
        <w:pStyle w:val="Heading2"/>
        <w:numPr>
          <w:ilvl w:val="0"/>
          <w:numId w:val="0"/>
        </w:numPr>
      </w:pPr>
      <w:bookmarkStart w:id="10" w:name="korektivne-i-preventivne-radnje"/>
      <w:bookmarkEnd w:id="9"/>
      <w:r w:rsidRPr="007E7069">
        <w:t>5.5 Korektivne i preventivne radnje</w:t>
      </w:r>
    </w:p>
    <w:p w14:paraId="0782DB7A" w14:textId="77777777" w:rsidR="00202E85" w:rsidRPr="007E7069" w:rsidRDefault="00000000">
      <w:pPr>
        <w:rPr>
          <w:rFonts w:ascii="Candara" w:hAnsi="Candara"/>
        </w:rPr>
      </w:pPr>
      <w:r w:rsidRPr="007E7069">
        <w:rPr>
          <w:rFonts w:ascii="Candara" w:hAnsi="Candara"/>
          <w:b/>
          <w:bCs/>
        </w:rPr>
        <w:t>Korak 6 – Identifikacija uzroka propusta</w:t>
      </w:r>
      <w:r w:rsidRPr="007E7069">
        <w:rPr>
          <w:rFonts w:ascii="Candara" w:hAnsi="Candara"/>
        </w:rPr>
        <w:t xml:space="preserve"> - Za svaku osnovanu pritužbu, voditelj tima ili Uprava identificira temeljni uzrok propusta (engl. root cause). - Uzroci se klasificiraju: nedostatak znanja, nedostatak procesa, komunikacijski problem, sustav/alat, vanjski uzrok.</w:t>
      </w:r>
    </w:p>
    <w:p w14:paraId="422A8600" w14:textId="77777777" w:rsidR="00202E85" w:rsidRPr="007E7069" w:rsidRDefault="00000000" w:rsidP="007E7069">
      <w:pPr>
        <w:pStyle w:val="BodyText"/>
        <w:ind w:right="0"/>
        <w:rPr>
          <w:rFonts w:ascii="Candara" w:hAnsi="Candara"/>
          <w:sz w:val="22"/>
          <w:szCs w:val="18"/>
        </w:rPr>
      </w:pPr>
      <w:r w:rsidRPr="007E7069">
        <w:rPr>
          <w:rFonts w:ascii="Candara" w:hAnsi="Candara"/>
          <w:b/>
          <w:bCs/>
          <w:sz w:val="22"/>
          <w:szCs w:val="18"/>
        </w:rPr>
        <w:t>Korak 7 – Definiranje korektivnih radnji</w:t>
      </w:r>
      <w:r w:rsidRPr="007E7069">
        <w:rPr>
          <w:rFonts w:ascii="Candara" w:hAnsi="Candara"/>
          <w:sz w:val="22"/>
          <w:szCs w:val="18"/>
        </w:rPr>
        <w:t xml:space="preserve"> - Za svaki utvrđeni uzrok definira se konkretna korektivna radnja, odgovorna osoba i rok provedbe. - Korektivne radnje bilježe se u Plan korektivnih radnji (Obrazac PR-05-02) koji vodi Uprava ANO-a.</w:t>
      </w:r>
    </w:p>
    <w:p w14:paraId="74638E0E" w14:textId="77777777" w:rsidR="00202E85" w:rsidRPr="007E7069" w:rsidRDefault="00000000" w:rsidP="007E7069">
      <w:pPr>
        <w:pStyle w:val="BodyText"/>
        <w:ind w:right="0"/>
        <w:rPr>
          <w:rFonts w:ascii="Candara" w:hAnsi="Candara"/>
          <w:sz w:val="22"/>
          <w:szCs w:val="18"/>
        </w:rPr>
      </w:pPr>
      <w:r w:rsidRPr="007E7069">
        <w:rPr>
          <w:rFonts w:ascii="Candara" w:hAnsi="Candara"/>
          <w:b/>
          <w:bCs/>
          <w:sz w:val="22"/>
          <w:szCs w:val="18"/>
        </w:rPr>
        <w:t>Korak 8 – Provjera učinkovitosti</w:t>
      </w:r>
      <w:r w:rsidRPr="007E7069">
        <w:rPr>
          <w:rFonts w:ascii="Candara" w:hAnsi="Candara"/>
          <w:sz w:val="22"/>
          <w:szCs w:val="18"/>
        </w:rPr>
        <w:t xml:space="preserve"> - Nakon provedbe korektivne radnje, odgovorna osoba provjerava je li propust uklonjen. - Rezultat provjere evidentira se u Registru pritužbi i Planu korektivnih radnji.</w:t>
      </w:r>
    </w:p>
    <w:p w14:paraId="2A4DAA0B" w14:textId="76656BFE" w:rsidR="00202E85" w:rsidRPr="007E7069" w:rsidRDefault="00202E85">
      <w:pPr>
        <w:rPr>
          <w:rFonts w:ascii="Candara" w:hAnsi="Candara"/>
        </w:rPr>
      </w:pPr>
    </w:p>
    <w:p w14:paraId="008144B0" w14:textId="77777777" w:rsidR="00202E85" w:rsidRPr="007E7069" w:rsidRDefault="00000000" w:rsidP="007E7069">
      <w:pPr>
        <w:pStyle w:val="Heading2"/>
        <w:numPr>
          <w:ilvl w:val="0"/>
          <w:numId w:val="0"/>
        </w:numPr>
      </w:pPr>
      <w:bookmarkStart w:id="11" w:name="izvještavanje-i-analiza-trendova"/>
      <w:bookmarkEnd w:id="10"/>
      <w:r w:rsidRPr="007E7069">
        <w:t>5.6 Izvještavanje i analiza trendova</w:t>
      </w:r>
    </w:p>
    <w:p w14:paraId="7A34BB7F" w14:textId="77777777" w:rsidR="00202E85" w:rsidRPr="007E7069" w:rsidRDefault="00000000">
      <w:pPr>
        <w:numPr>
          <w:ilvl w:val="0"/>
          <w:numId w:val="13"/>
        </w:numPr>
        <w:rPr>
          <w:rFonts w:ascii="Candara" w:hAnsi="Candara"/>
        </w:rPr>
      </w:pPr>
      <w:r w:rsidRPr="007E7069">
        <w:rPr>
          <w:rFonts w:ascii="Candara" w:hAnsi="Candara"/>
        </w:rPr>
        <w:t xml:space="preserve">Voditelj tima ili Uprava izrađuje </w:t>
      </w:r>
      <w:r w:rsidRPr="007E7069">
        <w:rPr>
          <w:rFonts w:ascii="Candara" w:hAnsi="Candara"/>
          <w:b/>
          <w:bCs/>
        </w:rPr>
        <w:t>godišnji izvještaj o pritužbama</w:t>
      </w:r>
      <w:r w:rsidRPr="007E7069">
        <w:rPr>
          <w:rFonts w:ascii="Candara" w:hAnsi="Candara"/>
        </w:rPr>
        <w:t xml:space="preserve"> koji sadrži:</w:t>
      </w:r>
    </w:p>
    <w:p w14:paraId="5409F3BE" w14:textId="77777777" w:rsidR="00202E85" w:rsidRPr="007E7069" w:rsidRDefault="00000000" w:rsidP="007E7069">
      <w:pPr>
        <w:numPr>
          <w:ilvl w:val="1"/>
          <w:numId w:val="14"/>
        </w:numPr>
        <w:spacing w:after="0"/>
        <w:rPr>
          <w:rFonts w:ascii="Candara" w:hAnsi="Candara"/>
        </w:rPr>
      </w:pPr>
      <w:r w:rsidRPr="007E7069">
        <w:rPr>
          <w:rFonts w:ascii="Candara" w:hAnsi="Candara"/>
        </w:rPr>
        <w:t>ukupan broj pritužbi po kategorijama,</w:t>
      </w:r>
    </w:p>
    <w:p w14:paraId="1CD8A7F4" w14:textId="77777777" w:rsidR="00202E85" w:rsidRPr="007E7069" w:rsidRDefault="00000000" w:rsidP="007E7069">
      <w:pPr>
        <w:numPr>
          <w:ilvl w:val="1"/>
          <w:numId w:val="14"/>
        </w:numPr>
        <w:spacing w:after="0"/>
        <w:rPr>
          <w:rFonts w:ascii="Candara" w:hAnsi="Candara"/>
        </w:rPr>
      </w:pPr>
      <w:r w:rsidRPr="007E7069">
        <w:rPr>
          <w:rFonts w:ascii="Candara" w:hAnsi="Candara"/>
        </w:rPr>
        <w:t>udio osnovanih/neosnovanih pritužbi,</w:t>
      </w:r>
    </w:p>
    <w:p w14:paraId="3EAFECA5" w14:textId="77777777" w:rsidR="00202E85" w:rsidRPr="007E7069" w:rsidRDefault="00000000" w:rsidP="007E7069">
      <w:pPr>
        <w:numPr>
          <w:ilvl w:val="1"/>
          <w:numId w:val="14"/>
        </w:numPr>
        <w:spacing w:after="0"/>
        <w:rPr>
          <w:rFonts w:ascii="Candara" w:hAnsi="Candara"/>
        </w:rPr>
      </w:pPr>
      <w:r w:rsidRPr="007E7069">
        <w:rPr>
          <w:rFonts w:ascii="Candara" w:hAnsi="Candara"/>
        </w:rPr>
        <w:t>prosječne rokove rješavanja,</w:t>
      </w:r>
    </w:p>
    <w:p w14:paraId="7E1647D6" w14:textId="77777777" w:rsidR="00202E85" w:rsidRPr="007E7069" w:rsidRDefault="00000000" w:rsidP="007E7069">
      <w:pPr>
        <w:numPr>
          <w:ilvl w:val="1"/>
          <w:numId w:val="14"/>
        </w:numPr>
        <w:spacing w:after="0"/>
        <w:rPr>
          <w:rFonts w:ascii="Candara" w:hAnsi="Candara"/>
        </w:rPr>
      </w:pPr>
      <w:r w:rsidRPr="007E7069">
        <w:rPr>
          <w:rFonts w:ascii="Candara" w:hAnsi="Candara"/>
        </w:rPr>
        <w:t>provedene korektivne radnje,</w:t>
      </w:r>
    </w:p>
    <w:p w14:paraId="37CECB0A" w14:textId="77777777" w:rsidR="00202E85" w:rsidRPr="007E7069" w:rsidRDefault="00000000" w:rsidP="007E7069">
      <w:pPr>
        <w:numPr>
          <w:ilvl w:val="1"/>
          <w:numId w:val="14"/>
        </w:numPr>
        <w:spacing w:after="0"/>
        <w:rPr>
          <w:rFonts w:ascii="Candara" w:hAnsi="Candara"/>
        </w:rPr>
      </w:pPr>
      <w:r w:rsidRPr="007E7069">
        <w:rPr>
          <w:rFonts w:ascii="Candara" w:hAnsi="Candara"/>
        </w:rPr>
        <w:t>preporuke za poboljšanje.</w:t>
      </w:r>
    </w:p>
    <w:p w14:paraId="1350007F" w14:textId="77777777" w:rsidR="00202E85" w:rsidRPr="007E7069" w:rsidRDefault="00000000">
      <w:pPr>
        <w:numPr>
          <w:ilvl w:val="0"/>
          <w:numId w:val="13"/>
        </w:numPr>
        <w:rPr>
          <w:rFonts w:ascii="Candara" w:hAnsi="Candara"/>
        </w:rPr>
      </w:pPr>
      <w:r w:rsidRPr="007E7069">
        <w:rPr>
          <w:rFonts w:ascii="Candara" w:hAnsi="Candara"/>
        </w:rPr>
        <w:t>Godišnji izvještaj razmatra se na kvartalnom sastanku menadžmenta (vidi internu proceduru, točka 4.1).</w:t>
      </w:r>
    </w:p>
    <w:p w14:paraId="690BBBDD" w14:textId="1E8D9C91" w:rsidR="00202E85" w:rsidRPr="007E7069" w:rsidRDefault="00000000" w:rsidP="007E7069">
      <w:pPr>
        <w:numPr>
          <w:ilvl w:val="0"/>
          <w:numId w:val="13"/>
        </w:numPr>
        <w:rPr>
          <w:rFonts w:ascii="Candara" w:hAnsi="Candara"/>
        </w:rPr>
      </w:pPr>
      <w:r w:rsidRPr="007E7069">
        <w:rPr>
          <w:rFonts w:ascii="Candara" w:hAnsi="Candara"/>
        </w:rPr>
        <w:t>HANFA se obavještava sukladno propisanim rokovima i u propisanom formatu ako to zahtijeva regulatorni okvir.</w:t>
      </w:r>
    </w:p>
    <w:p w14:paraId="0232FD28" w14:textId="77777777" w:rsidR="00202E85" w:rsidRPr="007E7069" w:rsidRDefault="00000000" w:rsidP="007E7069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2" w:name="evidencije"/>
      <w:bookmarkEnd w:id="5"/>
      <w:bookmarkEnd w:id="11"/>
      <w:r w:rsidRPr="007E7069">
        <w:rPr>
          <w:rFonts w:ascii="Candara" w:hAnsi="Candara"/>
        </w:rPr>
        <w:lastRenderedPageBreak/>
        <w:t>6. Evidencije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964"/>
        <w:gridCol w:w="1560"/>
        <w:gridCol w:w="2126"/>
        <w:gridCol w:w="1412"/>
      </w:tblGrid>
      <w:tr w:rsidR="00202E85" w:rsidRPr="007E7069" w14:paraId="63D9408E" w14:textId="77777777" w:rsidTr="007E7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7926A246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Evidencija</w:t>
            </w:r>
          </w:p>
        </w:tc>
        <w:tc>
          <w:tcPr>
            <w:tcW w:w="1560" w:type="dxa"/>
          </w:tcPr>
          <w:p w14:paraId="5A2C40DB" w14:textId="77777777" w:rsidR="00202E85" w:rsidRPr="007E7069" w:rsidRDefault="00000000" w:rsidP="007E706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Format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EC0F1D7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Lokacija pohrane</w:t>
            </w:r>
          </w:p>
        </w:tc>
        <w:tc>
          <w:tcPr>
            <w:tcW w:w="1412" w:type="dxa"/>
          </w:tcPr>
          <w:p w14:paraId="7B0AAE9A" w14:textId="77777777" w:rsidR="00202E85" w:rsidRPr="007E7069" w:rsidRDefault="00000000" w:rsidP="007E706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Rok čuvanja</w:t>
            </w:r>
          </w:p>
        </w:tc>
      </w:tr>
      <w:tr w:rsidR="00202E85" w:rsidRPr="007E7069" w14:paraId="3F4CE587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208E761B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Registar pritužbi (PR-05-01)</w:t>
            </w:r>
          </w:p>
        </w:tc>
        <w:tc>
          <w:tcPr>
            <w:tcW w:w="1560" w:type="dxa"/>
          </w:tcPr>
          <w:p w14:paraId="1455C094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Excel / Fidelis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8C9AE48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SharePoint / Fidelis</w:t>
            </w:r>
          </w:p>
        </w:tc>
        <w:tc>
          <w:tcPr>
            <w:tcW w:w="1412" w:type="dxa"/>
          </w:tcPr>
          <w:p w14:paraId="2C2FC2B2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5 godina</w:t>
            </w:r>
          </w:p>
        </w:tc>
      </w:tr>
      <w:tr w:rsidR="00202E85" w:rsidRPr="007E7069" w14:paraId="4CE4121C" w14:textId="77777777" w:rsidTr="007E70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040E5519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Dokumentacija pojedinog predmeta</w:t>
            </w:r>
          </w:p>
        </w:tc>
        <w:tc>
          <w:tcPr>
            <w:tcW w:w="1560" w:type="dxa"/>
          </w:tcPr>
          <w:p w14:paraId="34E34685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E-mail/PDF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E153D21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Fidelis</w:t>
            </w:r>
          </w:p>
        </w:tc>
        <w:tc>
          <w:tcPr>
            <w:tcW w:w="1412" w:type="dxa"/>
          </w:tcPr>
          <w:p w14:paraId="5FD6C22D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5 godina</w:t>
            </w:r>
          </w:p>
        </w:tc>
      </w:tr>
      <w:tr w:rsidR="00202E85" w:rsidRPr="007E7069" w14:paraId="4E15C889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6497AD3D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Plan i evidencija korektivnih radnji (PR-05-02)</w:t>
            </w:r>
          </w:p>
        </w:tc>
        <w:tc>
          <w:tcPr>
            <w:tcW w:w="1560" w:type="dxa"/>
          </w:tcPr>
          <w:p w14:paraId="29DDDAAC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Excel / Word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F1AC656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SharePoint</w:t>
            </w:r>
          </w:p>
        </w:tc>
        <w:tc>
          <w:tcPr>
            <w:tcW w:w="1412" w:type="dxa"/>
          </w:tcPr>
          <w:p w14:paraId="0137A085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5 godina</w:t>
            </w:r>
          </w:p>
        </w:tc>
      </w:tr>
      <w:tr w:rsidR="00202E85" w:rsidRPr="007E7069" w14:paraId="515AE68A" w14:textId="77777777" w:rsidTr="007E70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34BB0EC8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Godišnji izvještaj o pritužbama</w:t>
            </w:r>
          </w:p>
        </w:tc>
        <w:tc>
          <w:tcPr>
            <w:tcW w:w="1560" w:type="dxa"/>
          </w:tcPr>
          <w:p w14:paraId="0732D9E3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4DD9B07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SharePoint</w:t>
            </w:r>
          </w:p>
        </w:tc>
        <w:tc>
          <w:tcPr>
            <w:tcW w:w="1412" w:type="dxa"/>
          </w:tcPr>
          <w:p w14:paraId="049132EA" w14:textId="77777777" w:rsidR="00202E85" w:rsidRPr="007E7069" w:rsidRDefault="00000000" w:rsidP="007E70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5 godina</w:t>
            </w:r>
          </w:p>
        </w:tc>
      </w:tr>
      <w:tr w:rsidR="00202E85" w:rsidRPr="007E7069" w14:paraId="0F9E19CC" w14:textId="77777777" w:rsidTr="007E7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4" w:type="dxa"/>
          </w:tcPr>
          <w:p w14:paraId="274B2A6E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Komunikacija s HANFA-om</w:t>
            </w:r>
          </w:p>
        </w:tc>
        <w:tc>
          <w:tcPr>
            <w:tcW w:w="1560" w:type="dxa"/>
          </w:tcPr>
          <w:p w14:paraId="09A77FD4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9DF8E87" w14:textId="77777777" w:rsidR="00202E85" w:rsidRPr="007E7069" w:rsidRDefault="00000000" w:rsidP="007E7069">
            <w:pPr>
              <w:spacing w:after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Fidelis / Arhiv</w:t>
            </w:r>
          </w:p>
        </w:tc>
        <w:tc>
          <w:tcPr>
            <w:tcW w:w="1412" w:type="dxa"/>
          </w:tcPr>
          <w:p w14:paraId="106BB8D2" w14:textId="77777777" w:rsidR="00202E85" w:rsidRPr="007E7069" w:rsidRDefault="00000000" w:rsidP="007E706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E7069">
              <w:rPr>
                <w:rFonts w:ascii="Candara" w:hAnsi="Candara"/>
              </w:rPr>
              <w:t>10 godina</w:t>
            </w:r>
          </w:p>
        </w:tc>
      </w:tr>
    </w:tbl>
    <w:p w14:paraId="3F5061DB" w14:textId="6FD51A7F" w:rsidR="00202E85" w:rsidRPr="007E7069" w:rsidRDefault="00202E85">
      <w:pPr>
        <w:rPr>
          <w:rFonts w:ascii="Candara" w:hAnsi="Candara"/>
        </w:rPr>
      </w:pPr>
    </w:p>
    <w:p w14:paraId="09C6D1A0" w14:textId="77777777" w:rsidR="00202E85" w:rsidRPr="007E7069" w:rsidRDefault="00000000" w:rsidP="007E7069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3" w:name="referentni-dokumenti"/>
      <w:bookmarkEnd w:id="12"/>
      <w:r w:rsidRPr="007E7069">
        <w:rPr>
          <w:rFonts w:ascii="Candara" w:hAnsi="Candara"/>
        </w:rPr>
        <w:t>7. Referentni dokumenti</w:t>
      </w:r>
    </w:p>
    <w:p w14:paraId="2B648A0B" w14:textId="77777777" w:rsidR="00202E85" w:rsidRPr="007E7069" w:rsidRDefault="00000000" w:rsidP="007E7069">
      <w:pPr>
        <w:numPr>
          <w:ilvl w:val="0"/>
          <w:numId w:val="15"/>
        </w:numPr>
        <w:spacing w:after="0"/>
        <w:rPr>
          <w:rFonts w:ascii="Candara" w:hAnsi="Candara"/>
        </w:rPr>
      </w:pPr>
      <w:r w:rsidRPr="007E7069">
        <w:rPr>
          <w:rFonts w:ascii="Candara" w:hAnsi="Candara"/>
        </w:rPr>
        <w:t>Zakon o osiguranju (NN 30/15, 112/18, 63/20, 133/20, 152/24), čl. 507-512.</w:t>
      </w:r>
    </w:p>
    <w:p w14:paraId="4B109433" w14:textId="77777777" w:rsidR="00202E85" w:rsidRPr="007E7069" w:rsidRDefault="00000000" w:rsidP="007E7069">
      <w:pPr>
        <w:numPr>
          <w:ilvl w:val="0"/>
          <w:numId w:val="15"/>
        </w:numPr>
        <w:spacing w:after="0"/>
        <w:rPr>
          <w:rFonts w:ascii="Candara" w:hAnsi="Candara"/>
        </w:rPr>
      </w:pPr>
      <w:r w:rsidRPr="007E7069">
        <w:rPr>
          <w:rFonts w:ascii="Candara" w:hAnsi="Candara"/>
        </w:rPr>
        <w:t>Direktiva (EU) 2016/97 o distribuciji osiguranja (IDD), čl. 14.</w:t>
      </w:r>
    </w:p>
    <w:p w14:paraId="561237F3" w14:textId="77777777" w:rsidR="00202E85" w:rsidRPr="007E7069" w:rsidRDefault="00000000" w:rsidP="007E7069">
      <w:pPr>
        <w:numPr>
          <w:ilvl w:val="0"/>
          <w:numId w:val="15"/>
        </w:numPr>
        <w:spacing w:after="0"/>
        <w:rPr>
          <w:rFonts w:ascii="Candara" w:hAnsi="Candara"/>
        </w:rPr>
      </w:pPr>
      <w:r w:rsidRPr="007E7069">
        <w:rPr>
          <w:rFonts w:ascii="Candara" w:hAnsi="Candara"/>
        </w:rPr>
        <w:t>Pravilnik o rješavanju pritužbi ANO d.o.o.</w:t>
      </w:r>
    </w:p>
    <w:p w14:paraId="13F953CD" w14:textId="77777777" w:rsidR="00202E85" w:rsidRPr="007E7069" w:rsidRDefault="00000000" w:rsidP="007E7069">
      <w:pPr>
        <w:numPr>
          <w:ilvl w:val="0"/>
          <w:numId w:val="15"/>
        </w:numPr>
        <w:spacing w:after="0"/>
        <w:rPr>
          <w:rFonts w:ascii="Candara" w:hAnsi="Candara"/>
        </w:rPr>
      </w:pPr>
      <w:r w:rsidRPr="007E7069">
        <w:rPr>
          <w:rFonts w:ascii="Candara" w:hAnsi="Candara"/>
        </w:rPr>
        <w:t>PR-03 – Obrada šteta i odštetnih zahtjeva</w:t>
      </w:r>
    </w:p>
    <w:p w14:paraId="5F108FE0" w14:textId="77777777" w:rsidR="00202E85" w:rsidRPr="007E7069" w:rsidRDefault="00000000" w:rsidP="007E7069">
      <w:pPr>
        <w:numPr>
          <w:ilvl w:val="0"/>
          <w:numId w:val="15"/>
        </w:numPr>
        <w:spacing w:after="0"/>
        <w:rPr>
          <w:rFonts w:ascii="Candara" w:hAnsi="Candara"/>
        </w:rPr>
      </w:pPr>
      <w:r w:rsidRPr="007E7069">
        <w:rPr>
          <w:rFonts w:ascii="Candara" w:hAnsi="Candara"/>
        </w:rPr>
        <w:t>Interna procedura ANO d.o.o. – Upravljanje kvalitetom kroz poslovanje (v1.0, 2025.)</w:t>
      </w:r>
    </w:p>
    <w:p w14:paraId="196C6B41" w14:textId="72A9C07A" w:rsidR="00202E85" w:rsidRPr="007E7069" w:rsidRDefault="00202E85">
      <w:pPr>
        <w:rPr>
          <w:rFonts w:ascii="Candara" w:hAnsi="Candara"/>
        </w:rPr>
      </w:pPr>
    </w:p>
    <w:p w14:paraId="6F5B5F26" w14:textId="77777777" w:rsidR="00202E85" w:rsidRPr="007E7069" w:rsidRDefault="00000000">
      <w:pPr>
        <w:rPr>
          <w:rFonts w:ascii="Candara" w:hAnsi="Candara"/>
          <w:sz w:val="20"/>
          <w:szCs w:val="20"/>
        </w:rPr>
      </w:pPr>
      <w:r w:rsidRPr="007E7069">
        <w:rPr>
          <w:rFonts w:ascii="Candara" w:hAnsi="Candara"/>
          <w:i/>
          <w:iCs/>
          <w:sz w:val="20"/>
          <w:szCs w:val="20"/>
        </w:rPr>
        <w:t>Dokument je vlasništvo ANO d.o.o. Zabranjena je distribucija izvan organizacije bez odobrenja Uprave.</w:t>
      </w:r>
      <w:bookmarkEnd w:id="0"/>
      <w:bookmarkEnd w:id="13"/>
    </w:p>
    <w:sectPr w:rsidR="00202E85" w:rsidRPr="007E7069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EFD0" w14:textId="77777777" w:rsidR="0087756F" w:rsidRDefault="0087756F">
      <w:pPr>
        <w:spacing w:after="0"/>
      </w:pPr>
      <w:r>
        <w:separator/>
      </w:r>
    </w:p>
  </w:endnote>
  <w:endnote w:type="continuationSeparator" w:id="0">
    <w:p w14:paraId="28C61156" w14:textId="77777777" w:rsidR="0087756F" w:rsidRDefault="00877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6B08A749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52E375F3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PR-05 — POSTUPANJE PO PRITUŽBAMA I KOREKTIVNIM RADNJAMA</w:t>
          </w:r>
        </w:p>
        <w:p w14:paraId="7B30DD8A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1CAFF76A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5B34FC9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4606907C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60C43A66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B53B" w14:textId="77777777" w:rsidR="0087756F" w:rsidRDefault="0087756F">
      <w:pPr>
        <w:spacing w:after="0"/>
      </w:pPr>
      <w:r>
        <w:separator/>
      </w:r>
    </w:p>
  </w:footnote>
  <w:footnote w:type="continuationSeparator" w:id="0">
    <w:p w14:paraId="2AC6DC48" w14:textId="77777777" w:rsidR="0087756F" w:rsidRDefault="008775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074FE3D8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7919FA1C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749CEBF2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431492C8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Procedura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1EE47923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499EAD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77499EAD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AF2C61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098D22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4"/>
  </w:num>
  <w:num w:numId="2" w16cid:durableId="1579828856">
    <w:abstractNumId w:val="9"/>
  </w:num>
  <w:num w:numId="3" w16cid:durableId="1343045997">
    <w:abstractNumId w:val="7"/>
  </w:num>
  <w:num w:numId="4" w16cid:durableId="600525811">
    <w:abstractNumId w:val="10"/>
  </w:num>
  <w:num w:numId="5" w16cid:durableId="225532237">
    <w:abstractNumId w:val="3"/>
  </w:num>
  <w:num w:numId="6" w16cid:durableId="1202864895">
    <w:abstractNumId w:val="8"/>
  </w:num>
  <w:num w:numId="7" w16cid:durableId="2027169207">
    <w:abstractNumId w:val="11"/>
  </w:num>
  <w:num w:numId="8" w16cid:durableId="2087799954">
    <w:abstractNumId w:val="2"/>
  </w:num>
  <w:num w:numId="9" w16cid:durableId="332297062">
    <w:abstractNumId w:val="5"/>
  </w:num>
  <w:num w:numId="10" w16cid:durableId="1823766685">
    <w:abstractNumId w:val="6"/>
  </w:num>
  <w:num w:numId="11" w16cid:durableId="379747957">
    <w:abstractNumId w:val="0"/>
  </w:num>
  <w:num w:numId="12" w16cid:durableId="1530337269">
    <w:abstractNumId w:val="1"/>
  </w:num>
  <w:num w:numId="13" w16cid:durableId="1679042981">
    <w:abstractNumId w:val="1"/>
  </w:num>
  <w:num w:numId="14" w16cid:durableId="450519892">
    <w:abstractNumId w:val="1"/>
  </w:num>
  <w:num w:numId="15" w16cid:durableId="1241403531">
    <w:abstractNumId w:val="1"/>
  </w:num>
  <w:num w:numId="16" w16cid:durableId="970011713">
    <w:abstractNumId w:val="6"/>
  </w:num>
  <w:num w:numId="17" w16cid:durableId="787703927">
    <w:abstractNumId w:val="6"/>
  </w:num>
  <w:num w:numId="18" w16cid:durableId="2114588947">
    <w:abstractNumId w:val="6"/>
  </w:num>
  <w:num w:numId="19" w16cid:durableId="1694650866">
    <w:abstractNumId w:val="6"/>
  </w:num>
  <w:num w:numId="20" w16cid:durableId="598878085">
    <w:abstractNumId w:val="6"/>
  </w:num>
  <w:num w:numId="21" w16cid:durableId="1101023264">
    <w:abstractNumId w:val="6"/>
  </w:num>
  <w:num w:numId="22" w16cid:durableId="1837114445">
    <w:abstractNumId w:val="6"/>
  </w:num>
  <w:num w:numId="23" w16cid:durableId="38364968">
    <w:abstractNumId w:val="6"/>
  </w:num>
  <w:num w:numId="24" w16cid:durableId="441147956">
    <w:abstractNumId w:val="6"/>
  </w:num>
  <w:num w:numId="25" w16cid:durableId="2102026028">
    <w:abstractNumId w:val="6"/>
  </w:num>
  <w:num w:numId="26" w16cid:durableId="1311714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02E85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7E7069"/>
    <w:rsid w:val="00813BE8"/>
    <w:rsid w:val="008164D9"/>
    <w:rsid w:val="008413D4"/>
    <w:rsid w:val="00854DE5"/>
    <w:rsid w:val="00861229"/>
    <w:rsid w:val="0086672F"/>
    <w:rsid w:val="0087756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44C7F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7E70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2026-04-11T17:48:00Z</dcterms:modified>
</cp:coreProperties>
</file>