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67953" w14:textId="77777777" w:rsidR="00D64A19" w:rsidRPr="00E907B3" w:rsidRDefault="00000000" w:rsidP="00E907B3">
      <w:pPr>
        <w:pStyle w:val="Heading1"/>
        <w:numPr>
          <w:ilvl w:val="0"/>
          <w:numId w:val="0"/>
        </w:numPr>
        <w:rPr>
          <w:rFonts w:ascii="Candara" w:hAnsi="Candara"/>
        </w:rPr>
      </w:pPr>
      <w:bookmarkStart w:id="0" w:name="pr-03-obrada-šteta-i-odštetnih-zahtjeva"/>
      <w:r w:rsidRPr="00E907B3">
        <w:rPr>
          <w:rFonts w:ascii="Candara" w:hAnsi="Candara"/>
        </w:rPr>
        <w:t>PR-03: Obrada šteta i odštetnih zahtjeva</w:t>
      </w:r>
    </w:p>
    <w:tbl>
      <w:tblPr>
        <w:tblStyle w:val="GridTable4-Accent5"/>
        <w:tblW w:w="0" w:type="auto"/>
        <w:jc w:val="center"/>
        <w:tblLook w:val="0020" w:firstRow="1" w:lastRow="0" w:firstColumn="0" w:lastColumn="0" w:noHBand="0" w:noVBand="0"/>
      </w:tblPr>
      <w:tblGrid>
        <w:gridCol w:w="2588"/>
        <w:gridCol w:w="2162"/>
      </w:tblGrid>
      <w:tr w:rsidR="00D64A19" w:rsidRPr="00E907B3" w14:paraId="3EE13949" w14:textId="77777777" w:rsidTr="00E907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4091D6C" w14:textId="77777777" w:rsidR="00D64A19" w:rsidRPr="00E907B3" w:rsidRDefault="00000000" w:rsidP="00E907B3">
            <w:pPr>
              <w:spacing w:after="0"/>
              <w:rPr>
                <w:rFonts w:ascii="Candara" w:hAnsi="Candara"/>
              </w:rPr>
            </w:pPr>
            <w:r w:rsidRPr="00E907B3">
              <w:rPr>
                <w:rFonts w:ascii="Candara" w:hAnsi="Candara"/>
              </w:rPr>
              <w:t>Polje</w:t>
            </w:r>
          </w:p>
        </w:tc>
        <w:tc>
          <w:tcPr>
            <w:tcW w:w="0" w:type="auto"/>
          </w:tcPr>
          <w:p w14:paraId="1CBAA1E3" w14:textId="77777777" w:rsidR="00D64A19" w:rsidRPr="00E907B3" w:rsidRDefault="00000000" w:rsidP="00E907B3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E907B3">
              <w:rPr>
                <w:rFonts w:ascii="Candara" w:hAnsi="Candara"/>
              </w:rPr>
              <w:t>Vrijednost</w:t>
            </w:r>
          </w:p>
        </w:tc>
      </w:tr>
      <w:tr w:rsidR="00D64A19" w:rsidRPr="00E907B3" w14:paraId="2FDCB812" w14:textId="77777777" w:rsidTr="00E907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615F8BB8" w14:textId="77777777" w:rsidR="00D64A19" w:rsidRPr="00E907B3" w:rsidRDefault="00000000" w:rsidP="00E907B3">
            <w:pPr>
              <w:spacing w:after="0"/>
              <w:rPr>
                <w:rFonts w:ascii="Candara" w:hAnsi="Candara"/>
              </w:rPr>
            </w:pPr>
            <w:r w:rsidRPr="00E907B3">
              <w:rPr>
                <w:rFonts w:ascii="Candara" w:hAnsi="Candara"/>
                <w:b/>
                <w:bCs/>
              </w:rPr>
              <w:t>Oznaka</w:t>
            </w:r>
          </w:p>
        </w:tc>
        <w:tc>
          <w:tcPr>
            <w:tcW w:w="0" w:type="auto"/>
          </w:tcPr>
          <w:p w14:paraId="298008C2" w14:textId="77777777" w:rsidR="00D64A19" w:rsidRPr="00E907B3" w:rsidRDefault="00000000" w:rsidP="00E907B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E907B3">
              <w:rPr>
                <w:rFonts w:ascii="Candara" w:hAnsi="Candara"/>
              </w:rPr>
              <w:t>PR-03-v1.0</w:t>
            </w:r>
          </w:p>
        </w:tc>
      </w:tr>
      <w:tr w:rsidR="00D64A19" w:rsidRPr="00E907B3" w14:paraId="3ABD8CBD" w14:textId="77777777" w:rsidTr="00E907B3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18E49DB" w14:textId="77777777" w:rsidR="00D64A19" w:rsidRPr="00E907B3" w:rsidRDefault="00000000" w:rsidP="00E907B3">
            <w:pPr>
              <w:spacing w:after="0"/>
              <w:rPr>
                <w:rFonts w:ascii="Candara" w:hAnsi="Candara"/>
              </w:rPr>
            </w:pPr>
            <w:r w:rsidRPr="00E907B3">
              <w:rPr>
                <w:rFonts w:ascii="Candara" w:hAnsi="Candara"/>
                <w:b/>
                <w:bCs/>
              </w:rPr>
              <w:t>Tip dokumenta</w:t>
            </w:r>
          </w:p>
        </w:tc>
        <w:tc>
          <w:tcPr>
            <w:tcW w:w="0" w:type="auto"/>
          </w:tcPr>
          <w:p w14:paraId="0AB41CB2" w14:textId="77777777" w:rsidR="00D64A19" w:rsidRPr="00E907B3" w:rsidRDefault="00000000" w:rsidP="00E907B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E907B3">
              <w:rPr>
                <w:rFonts w:ascii="Candara" w:hAnsi="Candara"/>
              </w:rPr>
              <w:t>Interna procedura</w:t>
            </w:r>
          </w:p>
        </w:tc>
      </w:tr>
      <w:tr w:rsidR="00D64A19" w:rsidRPr="00E907B3" w14:paraId="5D6B99ED" w14:textId="77777777" w:rsidTr="00E907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4CD11B8" w14:textId="77777777" w:rsidR="00D64A19" w:rsidRPr="00E907B3" w:rsidRDefault="00000000" w:rsidP="00E907B3">
            <w:pPr>
              <w:spacing w:after="0"/>
              <w:rPr>
                <w:rFonts w:ascii="Candara" w:hAnsi="Candara"/>
              </w:rPr>
            </w:pPr>
            <w:r w:rsidRPr="00E907B3">
              <w:rPr>
                <w:rFonts w:ascii="Candara" w:hAnsi="Candara"/>
                <w:b/>
                <w:bCs/>
              </w:rPr>
              <w:t>Verzija</w:t>
            </w:r>
          </w:p>
        </w:tc>
        <w:tc>
          <w:tcPr>
            <w:tcW w:w="0" w:type="auto"/>
          </w:tcPr>
          <w:p w14:paraId="1A2D7844" w14:textId="77777777" w:rsidR="00D64A19" w:rsidRPr="00E907B3" w:rsidRDefault="00000000" w:rsidP="00E907B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E907B3">
              <w:rPr>
                <w:rFonts w:ascii="Candara" w:hAnsi="Candara"/>
              </w:rPr>
              <w:t>1.0</w:t>
            </w:r>
          </w:p>
        </w:tc>
      </w:tr>
      <w:tr w:rsidR="00D64A19" w:rsidRPr="00E907B3" w14:paraId="418CF8FF" w14:textId="77777777" w:rsidTr="00E907B3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3FCEF0B" w14:textId="77777777" w:rsidR="00D64A19" w:rsidRPr="00E907B3" w:rsidRDefault="00000000" w:rsidP="00E907B3">
            <w:pPr>
              <w:spacing w:after="0"/>
              <w:rPr>
                <w:rFonts w:ascii="Candara" w:hAnsi="Candara"/>
              </w:rPr>
            </w:pPr>
            <w:r w:rsidRPr="00E907B3">
              <w:rPr>
                <w:rFonts w:ascii="Candara" w:hAnsi="Candara"/>
                <w:b/>
                <w:bCs/>
              </w:rPr>
              <w:t>Datum stupanja na snagu</w:t>
            </w:r>
          </w:p>
        </w:tc>
        <w:tc>
          <w:tcPr>
            <w:tcW w:w="0" w:type="auto"/>
          </w:tcPr>
          <w:p w14:paraId="196B3996" w14:textId="77777777" w:rsidR="00D64A19" w:rsidRPr="00E907B3" w:rsidRDefault="00000000" w:rsidP="00E907B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E907B3">
              <w:rPr>
                <w:rFonts w:ascii="Candara" w:hAnsi="Candara"/>
              </w:rPr>
              <w:t>11. travnja 2026.</w:t>
            </w:r>
          </w:p>
        </w:tc>
      </w:tr>
      <w:tr w:rsidR="00D64A19" w:rsidRPr="00E907B3" w14:paraId="2B4B860F" w14:textId="77777777" w:rsidTr="00E907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8392FBE" w14:textId="77777777" w:rsidR="00D64A19" w:rsidRPr="00E907B3" w:rsidRDefault="00000000" w:rsidP="00E907B3">
            <w:pPr>
              <w:spacing w:after="0"/>
              <w:rPr>
                <w:rFonts w:ascii="Candara" w:hAnsi="Candara"/>
              </w:rPr>
            </w:pPr>
            <w:r w:rsidRPr="00E907B3">
              <w:rPr>
                <w:rFonts w:ascii="Candara" w:hAnsi="Candara"/>
                <w:b/>
                <w:bCs/>
              </w:rPr>
              <w:t>Vlasnik procedure</w:t>
            </w:r>
          </w:p>
        </w:tc>
        <w:tc>
          <w:tcPr>
            <w:tcW w:w="0" w:type="auto"/>
          </w:tcPr>
          <w:p w14:paraId="24E97573" w14:textId="77777777" w:rsidR="00D64A19" w:rsidRPr="00E907B3" w:rsidRDefault="00000000" w:rsidP="00E907B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E907B3">
              <w:rPr>
                <w:rFonts w:ascii="Candara" w:hAnsi="Candara"/>
              </w:rPr>
              <w:t>Voditelj tima za štete</w:t>
            </w:r>
          </w:p>
        </w:tc>
      </w:tr>
      <w:tr w:rsidR="00D64A19" w:rsidRPr="00E907B3" w14:paraId="6FAB5FDF" w14:textId="77777777" w:rsidTr="00E907B3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B62B9A8" w14:textId="77777777" w:rsidR="00D64A19" w:rsidRPr="00E907B3" w:rsidRDefault="00000000" w:rsidP="00E907B3">
            <w:pPr>
              <w:spacing w:after="0"/>
              <w:rPr>
                <w:rFonts w:ascii="Candara" w:hAnsi="Candara"/>
              </w:rPr>
            </w:pPr>
            <w:r w:rsidRPr="00E907B3">
              <w:rPr>
                <w:rFonts w:ascii="Candara" w:hAnsi="Candara"/>
                <w:b/>
                <w:bCs/>
              </w:rPr>
              <w:t>Odobrio</w:t>
            </w:r>
          </w:p>
        </w:tc>
        <w:tc>
          <w:tcPr>
            <w:tcW w:w="0" w:type="auto"/>
          </w:tcPr>
          <w:p w14:paraId="65790B17" w14:textId="77777777" w:rsidR="00D64A19" w:rsidRPr="00E907B3" w:rsidRDefault="00000000" w:rsidP="00E907B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E907B3">
              <w:rPr>
                <w:rFonts w:ascii="Candara" w:hAnsi="Candara"/>
              </w:rPr>
              <w:t>Uprava ANO d.o.o.</w:t>
            </w:r>
          </w:p>
        </w:tc>
      </w:tr>
      <w:tr w:rsidR="00D64A19" w:rsidRPr="00E907B3" w14:paraId="37C13B8B" w14:textId="77777777" w:rsidTr="00E907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C89EB25" w14:textId="77777777" w:rsidR="00D64A19" w:rsidRPr="00E907B3" w:rsidRDefault="00000000" w:rsidP="00E907B3">
            <w:pPr>
              <w:spacing w:after="0"/>
              <w:rPr>
                <w:rFonts w:ascii="Candara" w:hAnsi="Candara"/>
              </w:rPr>
            </w:pPr>
            <w:r w:rsidRPr="00E907B3">
              <w:rPr>
                <w:rFonts w:ascii="Candara" w:hAnsi="Candara"/>
                <w:b/>
                <w:bCs/>
              </w:rPr>
              <w:t>Sljedeća revizija</w:t>
            </w:r>
          </w:p>
        </w:tc>
        <w:tc>
          <w:tcPr>
            <w:tcW w:w="0" w:type="auto"/>
          </w:tcPr>
          <w:p w14:paraId="720EAAF4" w14:textId="77777777" w:rsidR="00D64A19" w:rsidRPr="00E907B3" w:rsidRDefault="00000000" w:rsidP="00E907B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E907B3">
              <w:rPr>
                <w:rFonts w:ascii="Candara" w:hAnsi="Candara"/>
              </w:rPr>
              <w:t>Travanj 2027.</w:t>
            </w:r>
          </w:p>
        </w:tc>
      </w:tr>
    </w:tbl>
    <w:p w14:paraId="0B16025D" w14:textId="6B96DDF8" w:rsidR="00D64A19" w:rsidRPr="00E907B3" w:rsidRDefault="00D64A19">
      <w:pPr>
        <w:rPr>
          <w:rFonts w:ascii="Candara" w:hAnsi="Candara"/>
        </w:rPr>
      </w:pPr>
    </w:p>
    <w:p w14:paraId="66656C78" w14:textId="77777777" w:rsidR="00D64A19" w:rsidRPr="00E907B3" w:rsidRDefault="00000000" w:rsidP="00E907B3">
      <w:pPr>
        <w:pStyle w:val="Heading1"/>
        <w:numPr>
          <w:ilvl w:val="0"/>
          <w:numId w:val="0"/>
        </w:numPr>
        <w:jc w:val="left"/>
        <w:rPr>
          <w:rFonts w:ascii="Candara" w:hAnsi="Candara"/>
        </w:rPr>
      </w:pPr>
      <w:bookmarkStart w:id="1" w:name="svrha"/>
      <w:r w:rsidRPr="00E907B3">
        <w:rPr>
          <w:rFonts w:ascii="Candara" w:hAnsi="Candara"/>
        </w:rPr>
        <w:t>1. Svrha</w:t>
      </w:r>
    </w:p>
    <w:p w14:paraId="67183548" w14:textId="5140256B" w:rsidR="00D64A19" w:rsidRPr="00E907B3" w:rsidRDefault="00000000" w:rsidP="00E907B3">
      <w:pPr>
        <w:rPr>
          <w:rFonts w:ascii="Candara" w:hAnsi="Candara"/>
        </w:rPr>
      </w:pPr>
      <w:r w:rsidRPr="00E907B3">
        <w:rPr>
          <w:rFonts w:ascii="Candara" w:hAnsi="Candara"/>
        </w:rPr>
        <w:t>Svrha ove procedure je osigurati pravovremenu, stručnu i transparentnu obradu prijava šteta i odštetnih zahtjeva za sve klijente ANO d.o.o., neovisno o kanalu prijave ili načinu sklapanja police osiguranja. Cilj je maksimizirati ostvarenje prava klijenta iz ugovora o osiguranju i osigurati učinkovitu komunikaciju između klijenta, brokera i osiguratelja.</w:t>
      </w:r>
    </w:p>
    <w:p w14:paraId="26C0FF12" w14:textId="77777777" w:rsidR="00D64A19" w:rsidRPr="00E907B3" w:rsidRDefault="00000000" w:rsidP="00E907B3">
      <w:pPr>
        <w:pStyle w:val="Heading1"/>
        <w:numPr>
          <w:ilvl w:val="0"/>
          <w:numId w:val="0"/>
        </w:numPr>
        <w:jc w:val="left"/>
        <w:rPr>
          <w:rFonts w:ascii="Candara" w:hAnsi="Candara"/>
        </w:rPr>
      </w:pPr>
      <w:bookmarkStart w:id="2" w:name="područje-primjene"/>
      <w:bookmarkEnd w:id="1"/>
      <w:r w:rsidRPr="00E907B3">
        <w:rPr>
          <w:rFonts w:ascii="Candara" w:hAnsi="Candara"/>
        </w:rPr>
        <w:t>2. Područje primjene</w:t>
      </w:r>
    </w:p>
    <w:p w14:paraId="69518E0A" w14:textId="5752E172" w:rsidR="00D64A19" w:rsidRPr="00E907B3" w:rsidRDefault="00000000" w:rsidP="00E907B3">
      <w:pPr>
        <w:rPr>
          <w:rFonts w:ascii="Candara" w:hAnsi="Candara"/>
        </w:rPr>
      </w:pPr>
      <w:r w:rsidRPr="00E907B3">
        <w:rPr>
          <w:rFonts w:ascii="Candara" w:hAnsi="Candara"/>
        </w:rPr>
        <w:t>Ova procedura primjenjuje se na: - sve prijave šteta zaprimljene od klijenata ANO-a, neovisno o kanalu prijave, - sve odštetne zahtjeve koje ANO obrađuje u ime klijenta, - sve vrste osiguranja (imovinska osiguranja, osiguranje odgovornosti, kasko, nezgoda, osiguranje osoba i dr.), - svu klijente (lokalne, globalne Aon klijente i klijente leasing odjela).</w:t>
      </w:r>
    </w:p>
    <w:p w14:paraId="78C2F324" w14:textId="77777777" w:rsidR="00D64A19" w:rsidRPr="00E907B3" w:rsidRDefault="00000000" w:rsidP="00E907B3">
      <w:pPr>
        <w:pStyle w:val="Heading1"/>
        <w:numPr>
          <w:ilvl w:val="0"/>
          <w:numId w:val="0"/>
        </w:numPr>
        <w:jc w:val="left"/>
        <w:rPr>
          <w:rFonts w:ascii="Candara" w:hAnsi="Candara"/>
        </w:rPr>
      </w:pPr>
      <w:bookmarkStart w:id="3" w:name="definicije-i-kratice"/>
      <w:bookmarkEnd w:id="2"/>
      <w:r w:rsidRPr="00E907B3">
        <w:rPr>
          <w:rFonts w:ascii="Candara" w:hAnsi="Candara"/>
        </w:rPr>
        <w:t>3. Definicije i kratice</w:t>
      </w:r>
    </w:p>
    <w:tbl>
      <w:tblPr>
        <w:tblStyle w:val="GridTable4-Accent5"/>
        <w:tblW w:w="5000" w:type="pct"/>
        <w:tblLayout w:type="fixed"/>
        <w:tblLook w:val="0020" w:firstRow="1" w:lastRow="0" w:firstColumn="0" w:lastColumn="0" w:noHBand="0" w:noVBand="0"/>
      </w:tblPr>
      <w:tblGrid>
        <w:gridCol w:w="3338"/>
        <w:gridCol w:w="5724"/>
      </w:tblGrid>
      <w:tr w:rsidR="00D64A19" w:rsidRPr="00E907B3" w14:paraId="2B6BAAC5" w14:textId="77777777" w:rsidTr="00E907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7" w:type="dxa"/>
          </w:tcPr>
          <w:p w14:paraId="69F6A04A" w14:textId="77777777" w:rsidR="00D64A19" w:rsidRPr="00E907B3" w:rsidRDefault="00000000" w:rsidP="00E907B3">
            <w:pPr>
              <w:spacing w:after="0"/>
              <w:rPr>
                <w:rFonts w:ascii="Candara" w:hAnsi="Candara"/>
              </w:rPr>
            </w:pPr>
            <w:r w:rsidRPr="00E907B3">
              <w:rPr>
                <w:rFonts w:ascii="Candara" w:hAnsi="Candara"/>
              </w:rPr>
              <w:t>Pojam</w:t>
            </w:r>
          </w:p>
        </w:tc>
        <w:tc>
          <w:tcPr>
            <w:tcW w:w="5002" w:type="dxa"/>
          </w:tcPr>
          <w:p w14:paraId="35702C99" w14:textId="77777777" w:rsidR="00D64A19" w:rsidRPr="00E907B3" w:rsidRDefault="00000000" w:rsidP="00E907B3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E907B3">
              <w:rPr>
                <w:rFonts w:ascii="Candara" w:hAnsi="Candara"/>
              </w:rPr>
              <w:t>Definicija</w:t>
            </w:r>
          </w:p>
        </w:tc>
      </w:tr>
      <w:tr w:rsidR="00D64A19" w:rsidRPr="00E907B3" w14:paraId="44E55A00" w14:textId="77777777" w:rsidTr="00E907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7" w:type="dxa"/>
          </w:tcPr>
          <w:p w14:paraId="5C832274" w14:textId="77777777" w:rsidR="00D64A19" w:rsidRPr="00E907B3" w:rsidRDefault="00000000" w:rsidP="00E907B3">
            <w:pPr>
              <w:spacing w:after="0"/>
              <w:rPr>
                <w:rFonts w:ascii="Candara" w:hAnsi="Candara"/>
              </w:rPr>
            </w:pPr>
            <w:r w:rsidRPr="00E907B3">
              <w:rPr>
                <w:rFonts w:ascii="Candara" w:hAnsi="Candara"/>
                <w:b/>
                <w:bCs/>
              </w:rPr>
              <w:t>Štetni događaj</w:t>
            </w:r>
          </w:p>
        </w:tc>
        <w:tc>
          <w:tcPr>
            <w:tcW w:w="5002" w:type="dxa"/>
          </w:tcPr>
          <w:p w14:paraId="2DCDA2A5" w14:textId="77777777" w:rsidR="00D64A19" w:rsidRPr="00E907B3" w:rsidRDefault="00000000" w:rsidP="00E907B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E907B3">
              <w:rPr>
                <w:rFonts w:ascii="Candara" w:hAnsi="Candara"/>
              </w:rPr>
              <w:t>Događaj koji je uzrokovao štetu pokrivenu policom osiguranja</w:t>
            </w:r>
          </w:p>
        </w:tc>
      </w:tr>
      <w:tr w:rsidR="00D64A19" w:rsidRPr="00E907B3" w14:paraId="6191EAF9" w14:textId="77777777" w:rsidTr="00E907B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7" w:type="dxa"/>
          </w:tcPr>
          <w:p w14:paraId="2DBA8579" w14:textId="77777777" w:rsidR="00D64A19" w:rsidRPr="00E907B3" w:rsidRDefault="00000000" w:rsidP="00E907B3">
            <w:pPr>
              <w:spacing w:after="0"/>
              <w:rPr>
                <w:rFonts w:ascii="Candara" w:hAnsi="Candara"/>
              </w:rPr>
            </w:pPr>
            <w:r w:rsidRPr="00E907B3">
              <w:rPr>
                <w:rFonts w:ascii="Candara" w:hAnsi="Candara"/>
                <w:b/>
                <w:bCs/>
              </w:rPr>
              <w:t>Prijava štete</w:t>
            </w:r>
          </w:p>
        </w:tc>
        <w:tc>
          <w:tcPr>
            <w:tcW w:w="5002" w:type="dxa"/>
          </w:tcPr>
          <w:p w14:paraId="679F33C5" w14:textId="77777777" w:rsidR="00D64A19" w:rsidRPr="00E907B3" w:rsidRDefault="00000000" w:rsidP="00E907B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E907B3">
              <w:rPr>
                <w:rFonts w:ascii="Candara" w:hAnsi="Candara"/>
              </w:rPr>
              <w:t>Inicijalni akt klijenta kojim obavještava ANO o nastanku štetnog događaja</w:t>
            </w:r>
          </w:p>
        </w:tc>
      </w:tr>
      <w:tr w:rsidR="00D64A19" w:rsidRPr="00E907B3" w14:paraId="4AEF1800" w14:textId="77777777" w:rsidTr="00E907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7" w:type="dxa"/>
          </w:tcPr>
          <w:p w14:paraId="35F04D91" w14:textId="77777777" w:rsidR="00D64A19" w:rsidRPr="00E907B3" w:rsidRDefault="00000000" w:rsidP="00E907B3">
            <w:pPr>
              <w:spacing w:after="0"/>
              <w:rPr>
                <w:rFonts w:ascii="Candara" w:hAnsi="Candara"/>
              </w:rPr>
            </w:pPr>
            <w:r w:rsidRPr="00E907B3">
              <w:rPr>
                <w:rFonts w:ascii="Candara" w:hAnsi="Candara"/>
                <w:b/>
                <w:bCs/>
              </w:rPr>
              <w:t>Odštetni zahtjev</w:t>
            </w:r>
          </w:p>
        </w:tc>
        <w:tc>
          <w:tcPr>
            <w:tcW w:w="5002" w:type="dxa"/>
          </w:tcPr>
          <w:p w14:paraId="5EDC77DC" w14:textId="77777777" w:rsidR="00D64A19" w:rsidRPr="00E907B3" w:rsidRDefault="00000000" w:rsidP="00E907B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E907B3">
              <w:rPr>
                <w:rFonts w:ascii="Candara" w:hAnsi="Candara"/>
              </w:rPr>
              <w:t>Formalni zahtjev klijentu prema osiguratelju za isplatu naknade</w:t>
            </w:r>
          </w:p>
        </w:tc>
      </w:tr>
      <w:tr w:rsidR="00D64A19" w:rsidRPr="00E907B3" w14:paraId="2640D1D3" w14:textId="77777777" w:rsidTr="00E907B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7" w:type="dxa"/>
          </w:tcPr>
          <w:p w14:paraId="5178931D" w14:textId="77777777" w:rsidR="00D64A19" w:rsidRPr="00E907B3" w:rsidRDefault="00000000" w:rsidP="00E907B3">
            <w:pPr>
              <w:spacing w:after="0"/>
              <w:rPr>
                <w:rFonts w:ascii="Candara" w:hAnsi="Candara"/>
              </w:rPr>
            </w:pPr>
            <w:r w:rsidRPr="00E907B3">
              <w:rPr>
                <w:rFonts w:ascii="Candara" w:hAnsi="Candara"/>
                <w:b/>
                <w:bCs/>
              </w:rPr>
              <w:t>Handler štete</w:t>
            </w:r>
          </w:p>
        </w:tc>
        <w:tc>
          <w:tcPr>
            <w:tcW w:w="5002" w:type="dxa"/>
          </w:tcPr>
          <w:p w14:paraId="19B09495" w14:textId="77777777" w:rsidR="00D64A19" w:rsidRPr="00E907B3" w:rsidRDefault="00000000" w:rsidP="00E907B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E907B3">
              <w:rPr>
                <w:rFonts w:ascii="Candara" w:hAnsi="Candara"/>
              </w:rPr>
              <w:t>Zaposlenik ANO-a odgovoran za obradu konkretne štete</w:t>
            </w:r>
          </w:p>
        </w:tc>
      </w:tr>
      <w:tr w:rsidR="00D64A19" w:rsidRPr="00E907B3" w14:paraId="5B014E75" w14:textId="77777777" w:rsidTr="00E907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7" w:type="dxa"/>
          </w:tcPr>
          <w:p w14:paraId="1FBE6040" w14:textId="77777777" w:rsidR="00D64A19" w:rsidRPr="00E907B3" w:rsidRDefault="00000000" w:rsidP="00E907B3">
            <w:pPr>
              <w:spacing w:after="0"/>
              <w:rPr>
                <w:rFonts w:ascii="Candara" w:hAnsi="Candara"/>
              </w:rPr>
            </w:pPr>
            <w:r w:rsidRPr="00E907B3">
              <w:rPr>
                <w:rFonts w:ascii="Candara" w:hAnsi="Candara"/>
                <w:b/>
                <w:bCs/>
              </w:rPr>
              <w:t>Procjenitelj (likvidator)</w:t>
            </w:r>
          </w:p>
        </w:tc>
        <w:tc>
          <w:tcPr>
            <w:tcW w:w="5002" w:type="dxa"/>
          </w:tcPr>
          <w:p w14:paraId="657F2D7F" w14:textId="77777777" w:rsidR="00D64A19" w:rsidRPr="00E907B3" w:rsidRDefault="00000000" w:rsidP="00E907B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E907B3">
              <w:rPr>
                <w:rFonts w:ascii="Candara" w:hAnsi="Candara"/>
              </w:rPr>
              <w:t>Ovlaštena osoba osiguratelja ili vanjski vještak koji procjenjuje visinu štete</w:t>
            </w:r>
          </w:p>
        </w:tc>
      </w:tr>
      <w:tr w:rsidR="00D64A19" w:rsidRPr="00E907B3" w14:paraId="40D62734" w14:textId="77777777" w:rsidTr="00E907B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7" w:type="dxa"/>
          </w:tcPr>
          <w:p w14:paraId="5C2BB8DE" w14:textId="77777777" w:rsidR="00D64A19" w:rsidRPr="00E907B3" w:rsidRDefault="00000000" w:rsidP="00E907B3">
            <w:pPr>
              <w:spacing w:after="0"/>
              <w:rPr>
                <w:rFonts w:ascii="Candara" w:hAnsi="Candara"/>
              </w:rPr>
            </w:pPr>
            <w:r w:rsidRPr="00E907B3">
              <w:rPr>
                <w:rFonts w:ascii="Candara" w:hAnsi="Candara"/>
                <w:b/>
                <w:bCs/>
              </w:rPr>
              <w:t>Fidelis</w:t>
            </w:r>
          </w:p>
        </w:tc>
        <w:tc>
          <w:tcPr>
            <w:tcW w:w="5002" w:type="dxa"/>
          </w:tcPr>
          <w:p w14:paraId="145FF8BD" w14:textId="77777777" w:rsidR="00D64A19" w:rsidRPr="00E907B3" w:rsidRDefault="00000000" w:rsidP="00E907B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E907B3">
              <w:rPr>
                <w:rFonts w:ascii="Candara" w:hAnsi="Candara"/>
              </w:rPr>
              <w:t>Interni CRM/operativni sustav ANO-a za upravljanje štetama i policama</w:t>
            </w:r>
          </w:p>
        </w:tc>
      </w:tr>
      <w:tr w:rsidR="00D64A19" w:rsidRPr="00E907B3" w14:paraId="6BD212D1" w14:textId="77777777" w:rsidTr="00E907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7" w:type="dxa"/>
          </w:tcPr>
          <w:p w14:paraId="72AAC6BC" w14:textId="77777777" w:rsidR="00D64A19" w:rsidRPr="00E907B3" w:rsidRDefault="00000000" w:rsidP="00E907B3">
            <w:pPr>
              <w:spacing w:after="0"/>
              <w:rPr>
                <w:rFonts w:ascii="Candara" w:hAnsi="Candara"/>
              </w:rPr>
            </w:pPr>
            <w:r w:rsidRPr="00E907B3">
              <w:rPr>
                <w:rFonts w:ascii="Candara" w:hAnsi="Candara"/>
                <w:b/>
                <w:bCs/>
              </w:rPr>
              <w:t>stete.ano.hr</w:t>
            </w:r>
          </w:p>
        </w:tc>
        <w:tc>
          <w:tcPr>
            <w:tcW w:w="5002" w:type="dxa"/>
          </w:tcPr>
          <w:p w14:paraId="1C971A21" w14:textId="77777777" w:rsidR="00D64A19" w:rsidRPr="00E907B3" w:rsidRDefault="00000000" w:rsidP="00E907B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E907B3">
              <w:rPr>
                <w:rFonts w:ascii="Candara" w:hAnsi="Candara"/>
              </w:rPr>
              <w:t>Web portal za online prijavu šteta</w:t>
            </w:r>
          </w:p>
        </w:tc>
      </w:tr>
    </w:tbl>
    <w:p w14:paraId="7528C9EB" w14:textId="6EFA667C" w:rsidR="00D64A19" w:rsidRPr="00E907B3" w:rsidRDefault="00D64A19">
      <w:pPr>
        <w:rPr>
          <w:rFonts w:ascii="Candara" w:hAnsi="Candara"/>
        </w:rPr>
      </w:pPr>
    </w:p>
    <w:p w14:paraId="38D72F16" w14:textId="77777777" w:rsidR="00D64A19" w:rsidRPr="00E907B3" w:rsidRDefault="00000000" w:rsidP="00E907B3">
      <w:pPr>
        <w:pStyle w:val="Heading1"/>
        <w:numPr>
          <w:ilvl w:val="0"/>
          <w:numId w:val="0"/>
        </w:numPr>
        <w:jc w:val="left"/>
        <w:rPr>
          <w:rFonts w:ascii="Candara" w:hAnsi="Candara"/>
        </w:rPr>
      </w:pPr>
      <w:bookmarkStart w:id="4" w:name="odgovornosti"/>
      <w:bookmarkEnd w:id="3"/>
      <w:r w:rsidRPr="00E907B3">
        <w:rPr>
          <w:rFonts w:ascii="Candara" w:hAnsi="Candara"/>
        </w:rPr>
        <w:lastRenderedPageBreak/>
        <w:t>4. Odgovornosti</w:t>
      </w:r>
    </w:p>
    <w:tbl>
      <w:tblPr>
        <w:tblStyle w:val="GridTable4-Accent5"/>
        <w:tblW w:w="5000" w:type="pct"/>
        <w:tblLayout w:type="fixed"/>
        <w:tblLook w:val="0020" w:firstRow="1" w:lastRow="0" w:firstColumn="0" w:lastColumn="0" w:noHBand="0" w:noVBand="0"/>
      </w:tblPr>
      <w:tblGrid>
        <w:gridCol w:w="3172"/>
        <w:gridCol w:w="5890"/>
      </w:tblGrid>
      <w:tr w:rsidR="00D64A19" w:rsidRPr="00E907B3" w14:paraId="077B47DE" w14:textId="77777777" w:rsidTr="00E907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72" w:type="dxa"/>
          </w:tcPr>
          <w:p w14:paraId="32363C6E" w14:textId="77777777" w:rsidR="00D64A19" w:rsidRPr="00E907B3" w:rsidRDefault="00000000" w:rsidP="00E907B3">
            <w:pPr>
              <w:spacing w:after="0"/>
              <w:rPr>
                <w:rFonts w:ascii="Candara" w:hAnsi="Candara"/>
              </w:rPr>
            </w:pPr>
            <w:r w:rsidRPr="00E907B3">
              <w:rPr>
                <w:rFonts w:ascii="Candara" w:hAnsi="Candara"/>
              </w:rPr>
              <w:t>Uloga</w:t>
            </w:r>
          </w:p>
        </w:tc>
        <w:tc>
          <w:tcPr>
            <w:tcW w:w="5148" w:type="dxa"/>
          </w:tcPr>
          <w:p w14:paraId="65B90ED7" w14:textId="77777777" w:rsidR="00D64A19" w:rsidRPr="00E907B3" w:rsidRDefault="00000000" w:rsidP="00E907B3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E907B3">
              <w:rPr>
                <w:rFonts w:ascii="Candara" w:hAnsi="Candara"/>
              </w:rPr>
              <w:t>Odgovornost</w:t>
            </w:r>
          </w:p>
        </w:tc>
      </w:tr>
      <w:tr w:rsidR="00D64A19" w:rsidRPr="00E907B3" w14:paraId="743D89B4" w14:textId="77777777" w:rsidTr="00E907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72" w:type="dxa"/>
          </w:tcPr>
          <w:p w14:paraId="1F80C97F" w14:textId="77777777" w:rsidR="00D64A19" w:rsidRPr="00E907B3" w:rsidRDefault="00000000" w:rsidP="00E907B3">
            <w:pPr>
              <w:spacing w:after="0"/>
              <w:rPr>
                <w:rFonts w:ascii="Candara" w:hAnsi="Candara"/>
              </w:rPr>
            </w:pPr>
            <w:r w:rsidRPr="00E907B3">
              <w:rPr>
                <w:rFonts w:ascii="Candara" w:hAnsi="Candara"/>
                <w:b/>
                <w:bCs/>
              </w:rPr>
              <w:t>Voditelj tima za štete</w:t>
            </w:r>
          </w:p>
        </w:tc>
        <w:tc>
          <w:tcPr>
            <w:tcW w:w="5148" w:type="dxa"/>
          </w:tcPr>
          <w:p w14:paraId="2ABEC94E" w14:textId="77777777" w:rsidR="00D64A19" w:rsidRPr="00E907B3" w:rsidRDefault="00000000" w:rsidP="00E907B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E907B3">
              <w:rPr>
                <w:rFonts w:ascii="Candara" w:hAnsi="Candara"/>
              </w:rPr>
              <w:t>Organizacija i nadzor cjelokupnog procesa obrade šteta, eskalacije, izvještavanje</w:t>
            </w:r>
          </w:p>
        </w:tc>
      </w:tr>
      <w:tr w:rsidR="00D64A19" w:rsidRPr="00E907B3" w14:paraId="6093309F" w14:textId="77777777" w:rsidTr="00E907B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72" w:type="dxa"/>
          </w:tcPr>
          <w:p w14:paraId="77D8AC75" w14:textId="77777777" w:rsidR="00D64A19" w:rsidRPr="00E907B3" w:rsidRDefault="00000000" w:rsidP="00E907B3">
            <w:pPr>
              <w:spacing w:after="0"/>
              <w:rPr>
                <w:rFonts w:ascii="Candara" w:hAnsi="Candara"/>
              </w:rPr>
            </w:pPr>
            <w:r w:rsidRPr="00E907B3">
              <w:rPr>
                <w:rFonts w:ascii="Candara" w:hAnsi="Candara"/>
                <w:b/>
                <w:bCs/>
              </w:rPr>
              <w:t>Handler štete (broker/stručnjak za štete)</w:t>
            </w:r>
          </w:p>
        </w:tc>
        <w:tc>
          <w:tcPr>
            <w:tcW w:w="5148" w:type="dxa"/>
          </w:tcPr>
          <w:p w14:paraId="4E5CFE43" w14:textId="77777777" w:rsidR="00D64A19" w:rsidRPr="00E907B3" w:rsidRDefault="00000000" w:rsidP="00E907B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E907B3">
              <w:rPr>
                <w:rFonts w:ascii="Candara" w:hAnsi="Candara"/>
              </w:rPr>
              <w:t>Zaprimanje prijave, kompletiranje dokumentacije, komunikacija s osigurateljem i klijentom, praćenje statusa</w:t>
            </w:r>
          </w:p>
        </w:tc>
      </w:tr>
      <w:tr w:rsidR="00D64A19" w:rsidRPr="00E907B3" w14:paraId="398DEFF0" w14:textId="77777777" w:rsidTr="00E907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72" w:type="dxa"/>
          </w:tcPr>
          <w:p w14:paraId="09BD2D44" w14:textId="77777777" w:rsidR="00D64A19" w:rsidRPr="00E907B3" w:rsidRDefault="00000000" w:rsidP="00E907B3">
            <w:pPr>
              <w:spacing w:after="0"/>
              <w:rPr>
                <w:rFonts w:ascii="Candara" w:hAnsi="Candara"/>
              </w:rPr>
            </w:pPr>
            <w:r w:rsidRPr="00E907B3">
              <w:rPr>
                <w:rFonts w:ascii="Candara" w:hAnsi="Candara"/>
                <w:b/>
                <w:bCs/>
              </w:rPr>
              <w:t>Account manager</w:t>
            </w:r>
          </w:p>
        </w:tc>
        <w:tc>
          <w:tcPr>
            <w:tcW w:w="5148" w:type="dxa"/>
          </w:tcPr>
          <w:p w14:paraId="397E3397" w14:textId="77777777" w:rsidR="00D64A19" w:rsidRPr="00E907B3" w:rsidRDefault="00000000" w:rsidP="00E907B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E907B3">
              <w:rPr>
                <w:rFonts w:ascii="Candara" w:hAnsi="Candara"/>
              </w:rPr>
              <w:t>Obavještavanje klijenta, koordinacija između klijenta i tima za štete</w:t>
            </w:r>
          </w:p>
        </w:tc>
      </w:tr>
      <w:tr w:rsidR="00D64A19" w:rsidRPr="00E907B3" w14:paraId="17561406" w14:textId="77777777" w:rsidTr="00E907B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72" w:type="dxa"/>
          </w:tcPr>
          <w:p w14:paraId="153A99FD" w14:textId="77777777" w:rsidR="00D64A19" w:rsidRPr="00E907B3" w:rsidRDefault="00000000" w:rsidP="00E907B3">
            <w:pPr>
              <w:spacing w:after="0"/>
              <w:rPr>
                <w:rFonts w:ascii="Candara" w:hAnsi="Candara"/>
              </w:rPr>
            </w:pPr>
            <w:r w:rsidRPr="00E907B3">
              <w:rPr>
                <w:rFonts w:ascii="Candara" w:hAnsi="Candara"/>
                <w:b/>
                <w:bCs/>
              </w:rPr>
              <w:t>Uprava ANO d.o.o.</w:t>
            </w:r>
          </w:p>
        </w:tc>
        <w:tc>
          <w:tcPr>
            <w:tcW w:w="5148" w:type="dxa"/>
          </w:tcPr>
          <w:p w14:paraId="0432438C" w14:textId="77777777" w:rsidR="00D64A19" w:rsidRPr="00E907B3" w:rsidRDefault="00000000" w:rsidP="00E907B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E907B3">
              <w:rPr>
                <w:rFonts w:ascii="Candara" w:hAnsi="Candara"/>
              </w:rPr>
              <w:t>Odlučivanje o eskaliranim slučajevima, odobrenje angažmana vanjskih vještaka</w:t>
            </w:r>
          </w:p>
        </w:tc>
      </w:tr>
    </w:tbl>
    <w:p w14:paraId="5C4AEC91" w14:textId="4C52E909" w:rsidR="00D64A19" w:rsidRPr="00E907B3" w:rsidRDefault="00D64A19">
      <w:pPr>
        <w:rPr>
          <w:rFonts w:ascii="Candara" w:hAnsi="Candara"/>
        </w:rPr>
      </w:pPr>
    </w:p>
    <w:p w14:paraId="41624DF8" w14:textId="77777777" w:rsidR="00D64A19" w:rsidRPr="00E907B3" w:rsidRDefault="00000000" w:rsidP="00E907B3">
      <w:pPr>
        <w:pStyle w:val="Heading1"/>
        <w:numPr>
          <w:ilvl w:val="0"/>
          <w:numId w:val="0"/>
        </w:numPr>
        <w:jc w:val="left"/>
        <w:rPr>
          <w:rFonts w:ascii="Candara" w:hAnsi="Candara"/>
        </w:rPr>
      </w:pPr>
      <w:bookmarkStart w:id="5" w:name="opis-postupka"/>
      <w:bookmarkEnd w:id="4"/>
      <w:r w:rsidRPr="00E907B3">
        <w:rPr>
          <w:rFonts w:ascii="Candara" w:hAnsi="Candara"/>
        </w:rPr>
        <w:t>5. Opis postupka</w:t>
      </w:r>
    </w:p>
    <w:p w14:paraId="7355EE05" w14:textId="77777777" w:rsidR="00D64A19" w:rsidRPr="00E907B3" w:rsidRDefault="00000000" w:rsidP="00E907B3">
      <w:pPr>
        <w:pStyle w:val="Heading2"/>
        <w:numPr>
          <w:ilvl w:val="0"/>
          <w:numId w:val="0"/>
        </w:numPr>
      </w:pPr>
      <w:bookmarkStart w:id="6" w:name="kanali-prijave-štete"/>
      <w:r w:rsidRPr="00E907B3">
        <w:t>5.1 Kanali prijave štete</w:t>
      </w:r>
    </w:p>
    <w:p w14:paraId="4299283B" w14:textId="77777777" w:rsidR="00D64A19" w:rsidRPr="00E907B3" w:rsidRDefault="00000000">
      <w:pPr>
        <w:rPr>
          <w:rFonts w:ascii="Candara" w:hAnsi="Candara"/>
        </w:rPr>
      </w:pPr>
      <w:r w:rsidRPr="00E907B3">
        <w:rPr>
          <w:rFonts w:ascii="Candara" w:hAnsi="Candara"/>
        </w:rPr>
        <w:t>ANO zaprimlja prijave šteta putem sljedećih kanala:</w:t>
      </w:r>
    </w:p>
    <w:tbl>
      <w:tblPr>
        <w:tblStyle w:val="GridTable4-Accent5"/>
        <w:tblW w:w="5000" w:type="pct"/>
        <w:tblLayout w:type="fixed"/>
        <w:tblLook w:val="0020" w:firstRow="1" w:lastRow="0" w:firstColumn="0" w:lastColumn="0" w:noHBand="0" w:noVBand="0"/>
      </w:tblPr>
      <w:tblGrid>
        <w:gridCol w:w="2405"/>
        <w:gridCol w:w="6657"/>
      </w:tblGrid>
      <w:tr w:rsidR="00D64A19" w:rsidRPr="00E907B3" w14:paraId="26EAF648" w14:textId="77777777" w:rsidTr="00E907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5" w:type="dxa"/>
          </w:tcPr>
          <w:p w14:paraId="08A9475D" w14:textId="77777777" w:rsidR="00D64A19" w:rsidRPr="00E907B3" w:rsidRDefault="00000000" w:rsidP="00E907B3">
            <w:pPr>
              <w:spacing w:after="0"/>
              <w:rPr>
                <w:rFonts w:ascii="Candara" w:hAnsi="Candara"/>
              </w:rPr>
            </w:pPr>
            <w:r w:rsidRPr="00E907B3">
              <w:rPr>
                <w:rFonts w:ascii="Candara" w:hAnsi="Candara"/>
              </w:rPr>
              <w:t>Kanal</w:t>
            </w:r>
          </w:p>
        </w:tc>
        <w:tc>
          <w:tcPr>
            <w:tcW w:w="6657" w:type="dxa"/>
          </w:tcPr>
          <w:p w14:paraId="61236BC9" w14:textId="77777777" w:rsidR="00D64A19" w:rsidRPr="00E907B3" w:rsidRDefault="00000000" w:rsidP="00E907B3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E907B3">
              <w:rPr>
                <w:rFonts w:ascii="Candara" w:hAnsi="Candara"/>
              </w:rPr>
              <w:t>Detalji</w:t>
            </w:r>
          </w:p>
        </w:tc>
      </w:tr>
      <w:tr w:rsidR="00D64A19" w:rsidRPr="00E907B3" w14:paraId="06C28539" w14:textId="77777777" w:rsidTr="00E907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5" w:type="dxa"/>
          </w:tcPr>
          <w:p w14:paraId="1EF6F017" w14:textId="77777777" w:rsidR="00D64A19" w:rsidRPr="00E907B3" w:rsidRDefault="00000000" w:rsidP="00E907B3">
            <w:pPr>
              <w:spacing w:after="0"/>
              <w:rPr>
                <w:rFonts w:ascii="Candara" w:hAnsi="Candara"/>
              </w:rPr>
            </w:pPr>
            <w:r w:rsidRPr="00E907B3">
              <w:rPr>
                <w:rFonts w:ascii="Candara" w:hAnsi="Candara"/>
                <w:b/>
                <w:bCs/>
              </w:rPr>
              <w:t>Web portal</w:t>
            </w:r>
          </w:p>
        </w:tc>
        <w:tc>
          <w:tcPr>
            <w:tcW w:w="6657" w:type="dxa"/>
          </w:tcPr>
          <w:p w14:paraId="02656439" w14:textId="77777777" w:rsidR="00D64A19" w:rsidRPr="00E907B3" w:rsidRDefault="00000000" w:rsidP="00E907B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E907B3">
              <w:rPr>
                <w:rFonts w:ascii="Candara" w:hAnsi="Candara"/>
              </w:rPr>
              <w:t>https://stete.ano.hr – za odabrane osiguratelje i vrste osiguranja (vozila, imovina, nezgoda)</w:t>
            </w:r>
          </w:p>
        </w:tc>
      </w:tr>
      <w:tr w:rsidR="00D64A19" w:rsidRPr="00E907B3" w14:paraId="73CBB7CC" w14:textId="77777777" w:rsidTr="00E907B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5" w:type="dxa"/>
          </w:tcPr>
          <w:p w14:paraId="6F7D9D1F" w14:textId="77777777" w:rsidR="00D64A19" w:rsidRPr="00E907B3" w:rsidRDefault="00000000" w:rsidP="00E907B3">
            <w:pPr>
              <w:spacing w:after="0"/>
              <w:rPr>
                <w:rFonts w:ascii="Candara" w:hAnsi="Candara"/>
              </w:rPr>
            </w:pPr>
            <w:r w:rsidRPr="00E907B3">
              <w:rPr>
                <w:rFonts w:ascii="Candara" w:hAnsi="Candara"/>
                <w:b/>
                <w:bCs/>
              </w:rPr>
              <w:t>E-mail</w:t>
            </w:r>
          </w:p>
        </w:tc>
        <w:tc>
          <w:tcPr>
            <w:tcW w:w="6657" w:type="dxa"/>
          </w:tcPr>
          <w:p w14:paraId="41018EAF" w14:textId="77777777" w:rsidR="00D64A19" w:rsidRPr="00E907B3" w:rsidRDefault="00000000" w:rsidP="00E907B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E907B3">
              <w:rPr>
                <w:rFonts w:ascii="Candara" w:hAnsi="Candara"/>
              </w:rPr>
              <w:t>Direktno na e-mail handlera ili opću adresu tima za štete</w:t>
            </w:r>
          </w:p>
        </w:tc>
      </w:tr>
      <w:tr w:rsidR="00D64A19" w:rsidRPr="00E907B3" w14:paraId="491C819A" w14:textId="77777777" w:rsidTr="00E907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5" w:type="dxa"/>
          </w:tcPr>
          <w:p w14:paraId="69570059" w14:textId="77777777" w:rsidR="00D64A19" w:rsidRPr="00E907B3" w:rsidRDefault="00000000" w:rsidP="00E907B3">
            <w:pPr>
              <w:spacing w:after="0"/>
              <w:rPr>
                <w:rFonts w:ascii="Candara" w:hAnsi="Candara"/>
              </w:rPr>
            </w:pPr>
            <w:r w:rsidRPr="00E907B3">
              <w:rPr>
                <w:rFonts w:ascii="Candara" w:hAnsi="Candara"/>
                <w:b/>
                <w:bCs/>
              </w:rPr>
              <w:t>Telefon</w:t>
            </w:r>
          </w:p>
        </w:tc>
        <w:tc>
          <w:tcPr>
            <w:tcW w:w="6657" w:type="dxa"/>
          </w:tcPr>
          <w:p w14:paraId="49B53E1C" w14:textId="77777777" w:rsidR="00D64A19" w:rsidRPr="00E907B3" w:rsidRDefault="00000000" w:rsidP="00E907B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E907B3">
              <w:rPr>
                <w:rFonts w:ascii="Candara" w:hAnsi="Candara"/>
              </w:rPr>
              <w:t>Verbalna prijava s naknadnim pisanim potvrđivanjem</w:t>
            </w:r>
          </w:p>
        </w:tc>
      </w:tr>
      <w:tr w:rsidR="00D64A19" w:rsidRPr="00E907B3" w14:paraId="3FFED141" w14:textId="77777777" w:rsidTr="00E907B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5" w:type="dxa"/>
          </w:tcPr>
          <w:p w14:paraId="65A4CB15" w14:textId="77777777" w:rsidR="00D64A19" w:rsidRPr="00E907B3" w:rsidRDefault="00000000" w:rsidP="00E907B3">
            <w:pPr>
              <w:spacing w:after="0"/>
              <w:rPr>
                <w:rFonts w:ascii="Candara" w:hAnsi="Candara"/>
              </w:rPr>
            </w:pPr>
            <w:r w:rsidRPr="00E907B3">
              <w:rPr>
                <w:rFonts w:ascii="Candara" w:hAnsi="Candara"/>
                <w:b/>
                <w:bCs/>
              </w:rPr>
              <w:t>Fizička pošta</w:t>
            </w:r>
          </w:p>
        </w:tc>
        <w:tc>
          <w:tcPr>
            <w:tcW w:w="6657" w:type="dxa"/>
          </w:tcPr>
          <w:p w14:paraId="7E0FD22C" w14:textId="77777777" w:rsidR="00D64A19" w:rsidRPr="00E907B3" w:rsidRDefault="00000000" w:rsidP="00E907B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E907B3">
              <w:rPr>
                <w:rFonts w:ascii="Candara" w:hAnsi="Candara"/>
              </w:rPr>
              <w:t>Zaprimanje u sjedištu ANO-a (Ilica 216, Zagreb)</w:t>
            </w:r>
          </w:p>
        </w:tc>
      </w:tr>
      <w:tr w:rsidR="00D64A19" w:rsidRPr="00E907B3" w14:paraId="6954C29A" w14:textId="77777777" w:rsidTr="00E907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5" w:type="dxa"/>
          </w:tcPr>
          <w:p w14:paraId="2DAE7A6A" w14:textId="77777777" w:rsidR="00D64A19" w:rsidRPr="00E907B3" w:rsidRDefault="00000000" w:rsidP="00E907B3">
            <w:pPr>
              <w:spacing w:after="0"/>
              <w:rPr>
                <w:rFonts w:ascii="Candara" w:hAnsi="Candara"/>
              </w:rPr>
            </w:pPr>
            <w:r w:rsidRPr="00E907B3">
              <w:rPr>
                <w:rFonts w:ascii="Candara" w:hAnsi="Candara"/>
                <w:b/>
                <w:bCs/>
              </w:rPr>
              <w:t>Posredovanjem account managera</w:t>
            </w:r>
          </w:p>
        </w:tc>
        <w:tc>
          <w:tcPr>
            <w:tcW w:w="6657" w:type="dxa"/>
          </w:tcPr>
          <w:p w14:paraId="199AF925" w14:textId="77777777" w:rsidR="00D64A19" w:rsidRPr="00E907B3" w:rsidRDefault="00000000" w:rsidP="00E907B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E907B3">
              <w:rPr>
                <w:rFonts w:ascii="Candara" w:hAnsi="Candara"/>
              </w:rPr>
              <w:t>Klijent kontaktira svog account managera koji prosljeđuje prijavu</w:t>
            </w:r>
          </w:p>
        </w:tc>
      </w:tr>
    </w:tbl>
    <w:p w14:paraId="73BA76B1" w14:textId="44ED20B6" w:rsidR="00D64A19" w:rsidRPr="00E907B3" w:rsidRDefault="00D64A19">
      <w:pPr>
        <w:rPr>
          <w:rFonts w:ascii="Candara" w:hAnsi="Candara"/>
        </w:rPr>
      </w:pPr>
    </w:p>
    <w:p w14:paraId="536861F4" w14:textId="77777777" w:rsidR="00D64A19" w:rsidRPr="00E907B3" w:rsidRDefault="00000000" w:rsidP="00E907B3">
      <w:pPr>
        <w:pStyle w:val="Heading2"/>
        <w:numPr>
          <w:ilvl w:val="0"/>
          <w:numId w:val="0"/>
        </w:numPr>
      </w:pPr>
      <w:bookmarkStart w:id="7" w:name="zaprimanje-i-registracija-prijave"/>
      <w:bookmarkEnd w:id="6"/>
      <w:r w:rsidRPr="00E907B3">
        <w:t>5.2 Zaprimanje i registracija prijave</w:t>
      </w:r>
    </w:p>
    <w:p w14:paraId="6682BF01" w14:textId="77777777" w:rsidR="00D64A19" w:rsidRPr="00E907B3" w:rsidRDefault="00000000">
      <w:pPr>
        <w:rPr>
          <w:rFonts w:ascii="Candara" w:hAnsi="Candara"/>
        </w:rPr>
      </w:pPr>
      <w:r w:rsidRPr="00E907B3">
        <w:rPr>
          <w:rFonts w:ascii="Candara" w:hAnsi="Candara"/>
          <w:b/>
          <w:bCs/>
        </w:rPr>
        <w:t>Korak 1 – Zaprimanje prijave</w:t>
      </w:r>
      <w:r w:rsidRPr="00E907B3">
        <w:rPr>
          <w:rFonts w:ascii="Candara" w:hAnsi="Candara"/>
        </w:rPr>
        <w:t xml:space="preserve"> - Handler štete zaprimlja prijavu putem bilo kojeg od gore navedenih kanala. - Za verbalne prijave: handler sastavlja pisanu bilješku i dostavlja je klijentu na potvrdu e-mailom.</w:t>
      </w:r>
    </w:p>
    <w:p w14:paraId="40E682BF" w14:textId="77777777" w:rsidR="00D64A19" w:rsidRPr="00E907B3" w:rsidRDefault="00000000" w:rsidP="00E907B3">
      <w:pPr>
        <w:pStyle w:val="BodyText"/>
        <w:ind w:right="0"/>
        <w:rPr>
          <w:rFonts w:ascii="Candara" w:hAnsi="Candara"/>
          <w:sz w:val="22"/>
          <w:szCs w:val="18"/>
        </w:rPr>
      </w:pPr>
      <w:r w:rsidRPr="00E907B3">
        <w:rPr>
          <w:rFonts w:ascii="Candara" w:hAnsi="Candara"/>
          <w:b/>
          <w:bCs/>
          <w:sz w:val="22"/>
          <w:szCs w:val="18"/>
        </w:rPr>
        <w:t>Korak 2 – Registracija u Fidelisu</w:t>
      </w:r>
      <w:r w:rsidRPr="00E907B3">
        <w:rPr>
          <w:rFonts w:ascii="Candara" w:hAnsi="Candara"/>
          <w:sz w:val="22"/>
          <w:szCs w:val="18"/>
        </w:rPr>
        <w:t xml:space="preserve"> - Svaka prijava štete registrira se u Fidelisu u roku od jednog radnog dana od zaprimanja. - Unose se: datum štetnog događaja, datum prijave, klijent, vrsta osiguranja, opis događaja, procijenjena vrijednost štete, naziv osiguratelja, broj police. - Svakoj šteti dodjeljuje se interni broj (oznaka štete ANO-a).</w:t>
      </w:r>
    </w:p>
    <w:p w14:paraId="6632BD1D" w14:textId="77777777" w:rsidR="00D64A19" w:rsidRPr="00E907B3" w:rsidRDefault="00000000" w:rsidP="00E907B3">
      <w:pPr>
        <w:pStyle w:val="BodyText"/>
        <w:ind w:right="0"/>
        <w:rPr>
          <w:rFonts w:ascii="Candara" w:hAnsi="Candara"/>
          <w:sz w:val="22"/>
          <w:szCs w:val="18"/>
        </w:rPr>
      </w:pPr>
      <w:r w:rsidRPr="00E907B3">
        <w:rPr>
          <w:rFonts w:ascii="Candara" w:hAnsi="Candara"/>
          <w:b/>
          <w:bCs/>
          <w:sz w:val="22"/>
          <w:szCs w:val="18"/>
        </w:rPr>
        <w:t>Korak 3 – Obavijest klijentu</w:t>
      </w:r>
      <w:r w:rsidRPr="00E907B3">
        <w:rPr>
          <w:rFonts w:ascii="Candara" w:hAnsi="Candara"/>
          <w:sz w:val="22"/>
          <w:szCs w:val="18"/>
        </w:rPr>
        <w:t xml:space="preserve"> - Handler potvrđuje primitak prijave klijentu u roku od jednog radnog dana. - Klijentu se priopćava interni broj štete, ime handlera i predviđeni sljedeći koraci.</w:t>
      </w:r>
    </w:p>
    <w:p w14:paraId="438DF8AC" w14:textId="4EF09C23" w:rsidR="00D64A19" w:rsidRPr="00E907B3" w:rsidRDefault="00D64A19">
      <w:pPr>
        <w:rPr>
          <w:rFonts w:ascii="Candara" w:hAnsi="Candara"/>
        </w:rPr>
      </w:pPr>
    </w:p>
    <w:p w14:paraId="3889B0FB" w14:textId="77777777" w:rsidR="00D64A19" w:rsidRPr="00E907B3" w:rsidRDefault="00000000" w:rsidP="00E907B3">
      <w:pPr>
        <w:pStyle w:val="Heading2"/>
        <w:numPr>
          <w:ilvl w:val="0"/>
          <w:numId w:val="0"/>
        </w:numPr>
      </w:pPr>
      <w:bookmarkStart w:id="8" w:name="procjena-i-kompletiranje-dokumentacije"/>
      <w:bookmarkEnd w:id="7"/>
      <w:r w:rsidRPr="00E907B3">
        <w:t>5.3 Procjena i kompletiranje dokumentacije</w:t>
      </w:r>
    </w:p>
    <w:p w14:paraId="15576680" w14:textId="77777777" w:rsidR="00D64A19" w:rsidRPr="00E907B3" w:rsidRDefault="00000000">
      <w:pPr>
        <w:rPr>
          <w:rFonts w:ascii="Candara" w:hAnsi="Candara"/>
        </w:rPr>
      </w:pPr>
      <w:r w:rsidRPr="00E907B3">
        <w:rPr>
          <w:rFonts w:ascii="Candara" w:hAnsi="Candara"/>
          <w:b/>
          <w:bCs/>
        </w:rPr>
        <w:t>Korak 4 – Provjera pokrića</w:t>
      </w:r>
      <w:r w:rsidRPr="00E907B3">
        <w:rPr>
          <w:rFonts w:ascii="Candara" w:hAnsi="Candara"/>
        </w:rPr>
        <w:t xml:space="preserve"> - Handler provjerava aktivnost police i pokriće za prijavljeni štetni događaj. - U slučaju potencijalnog isključenja pokrića, odmah se obavještava voditelja tima i klijenta.</w:t>
      </w:r>
    </w:p>
    <w:p w14:paraId="550403C1" w14:textId="77777777" w:rsidR="00D64A19" w:rsidRPr="00E907B3" w:rsidRDefault="00000000" w:rsidP="00E907B3">
      <w:pPr>
        <w:pStyle w:val="BodyText"/>
        <w:ind w:right="0"/>
        <w:rPr>
          <w:rFonts w:ascii="Candara" w:hAnsi="Candara"/>
          <w:sz w:val="22"/>
          <w:szCs w:val="18"/>
        </w:rPr>
      </w:pPr>
      <w:r w:rsidRPr="00E907B3">
        <w:rPr>
          <w:rFonts w:ascii="Candara" w:hAnsi="Candara"/>
          <w:b/>
          <w:bCs/>
          <w:sz w:val="22"/>
          <w:szCs w:val="18"/>
        </w:rPr>
        <w:t>Korak 5 – Dokumentacijska lista</w:t>
      </w:r>
      <w:r w:rsidRPr="00E907B3">
        <w:rPr>
          <w:rFonts w:ascii="Candara" w:hAnsi="Candara"/>
          <w:sz w:val="22"/>
          <w:szCs w:val="18"/>
        </w:rPr>
        <w:t xml:space="preserve"> - Handler priprema popis potrebne dokumentacije za konkretan slučaj (prema vrsti osiguranja i osiguratelju) i dostavlja ga klijentu pisanim putem. - Standardne dokumentacijske liste za najčešće vrste šteta pohranjene su na SharePointu.</w:t>
      </w:r>
    </w:p>
    <w:p w14:paraId="1610F95A" w14:textId="77777777" w:rsidR="00D64A19" w:rsidRPr="00E907B3" w:rsidRDefault="00000000" w:rsidP="00E907B3">
      <w:pPr>
        <w:pStyle w:val="BodyText"/>
        <w:ind w:right="0"/>
        <w:rPr>
          <w:rFonts w:ascii="Candara" w:hAnsi="Candara"/>
          <w:sz w:val="22"/>
          <w:szCs w:val="18"/>
        </w:rPr>
      </w:pPr>
      <w:r w:rsidRPr="00E907B3">
        <w:rPr>
          <w:rFonts w:ascii="Candara" w:hAnsi="Candara"/>
          <w:b/>
          <w:bCs/>
          <w:sz w:val="22"/>
          <w:szCs w:val="18"/>
        </w:rPr>
        <w:lastRenderedPageBreak/>
        <w:t>Korak 6 – Prikupljanje i provjera dokumentacije</w:t>
      </w:r>
      <w:r w:rsidRPr="00E907B3">
        <w:rPr>
          <w:rFonts w:ascii="Candara" w:hAnsi="Candara"/>
          <w:sz w:val="22"/>
          <w:szCs w:val="18"/>
        </w:rPr>
        <w:t xml:space="preserve"> - Handler koordinira prikupljanje dokumentacije od klijenta i po potrebi od trećih strana (policija, vatrogasci, liječnici, vještaci i sl.). - Po primitku, handler provjerava potpunost i ispravnost dokumentacije. - Nepotpuna dokumentacija vraća se klijentu s jasnom specifikacijom nedostajućih dijelova.</w:t>
      </w:r>
    </w:p>
    <w:p w14:paraId="243ABD4D" w14:textId="2A02D874" w:rsidR="00D64A19" w:rsidRPr="00E907B3" w:rsidRDefault="00D64A19">
      <w:pPr>
        <w:rPr>
          <w:rFonts w:ascii="Candara" w:hAnsi="Candara"/>
        </w:rPr>
      </w:pPr>
    </w:p>
    <w:p w14:paraId="7C7CF103" w14:textId="77777777" w:rsidR="00D64A19" w:rsidRPr="00E907B3" w:rsidRDefault="00000000" w:rsidP="00E907B3">
      <w:pPr>
        <w:pStyle w:val="Heading2"/>
        <w:numPr>
          <w:ilvl w:val="0"/>
          <w:numId w:val="0"/>
        </w:numPr>
      </w:pPr>
      <w:bookmarkStart w:id="9" w:name="prijava-osiguratelju-i-praćenje"/>
      <w:bookmarkEnd w:id="8"/>
      <w:r w:rsidRPr="00E907B3">
        <w:t>5.4 Prijava osiguratelju i praćenje</w:t>
      </w:r>
    </w:p>
    <w:p w14:paraId="6036E936" w14:textId="77777777" w:rsidR="00D64A19" w:rsidRPr="00E907B3" w:rsidRDefault="00000000">
      <w:pPr>
        <w:rPr>
          <w:rFonts w:ascii="Candara" w:hAnsi="Candara"/>
        </w:rPr>
      </w:pPr>
      <w:r w:rsidRPr="00E907B3">
        <w:rPr>
          <w:rFonts w:ascii="Candara" w:hAnsi="Candara"/>
          <w:b/>
          <w:bCs/>
        </w:rPr>
        <w:t>Korak 7 – Prijava štete osiguratelju</w:t>
      </w:r>
      <w:r w:rsidRPr="00E907B3">
        <w:rPr>
          <w:rFonts w:ascii="Candara" w:hAnsi="Candara"/>
        </w:rPr>
        <w:t xml:space="preserve"> - Kompletnu dokumentaciju handler dostavlja osiguratelju (elektronički ili prema dogovorenom postupku s pojedinim osigurateljem). - Datum dostave i referentni broj osiguratelja evidentiraju se u Fidelisu.</w:t>
      </w:r>
    </w:p>
    <w:p w14:paraId="359DB6D4" w14:textId="77777777" w:rsidR="00D64A19" w:rsidRPr="00E907B3" w:rsidRDefault="00000000" w:rsidP="00E907B3">
      <w:pPr>
        <w:pStyle w:val="BodyText"/>
        <w:ind w:right="0"/>
        <w:rPr>
          <w:rFonts w:ascii="Candara" w:hAnsi="Candara"/>
          <w:sz w:val="22"/>
          <w:szCs w:val="18"/>
        </w:rPr>
      </w:pPr>
      <w:r w:rsidRPr="00E907B3">
        <w:rPr>
          <w:rFonts w:ascii="Candara" w:hAnsi="Candara"/>
          <w:b/>
          <w:bCs/>
          <w:sz w:val="22"/>
          <w:szCs w:val="18"/>
        </w:rPr>
        <w:t>Korak 8 – Praćenje statusa</w:t>
      </w:r>
      <w:r w:rsidRPr="00E907B3">
        <w:rPr>
          <w:rFonts w:ascii="Candara" w:hAnsi="Candara"/>
          <w:sz w:val="22"/>
          <w:szCs w:val="18"/>
        </w:rPr>
        <w:t xml:space="preserve"> - Handler aktivno prati status obrade kod osiguratelja. - Za štete u obradi: handler kontaktira osiguratelja minimalno jednom tjedno ili prema dogovorenom dinamiku. - Klijent se proaktivno obavještava o svakoj promjeni statusa, a najmanje jednom u dva tjedna pisanom ili telefonskom komunikacijom. - Svi kontakti i relevantne informacije bilježe se u Fidelisu.</w:t>
      </w:r>
    </w:p>
    <w:p w14:paraId="7E7BA04E" w14:textId="77777777" w:rsidR="00D64A19" w:rsidRPr="00E907B3" w:rsidRDefault="00000000" w:rsidP="00E907B3">
      <w:pPr>
        <w:pStyle w:val="BodyText"/>
        <w:ind w:right="0"/>
        <w:rPr>
          <w:rFonts w:ascii="Candara" w:hAnsi="Candara"/>
          <w:sz w:val="22"/>
          <w:szCs w:val="18"/>
        </w:rPr>
      </w:pPr>
      <w:r w:rsidRPr="00E907B3">
        <w:rPr>
          <w:rFonts w:ascii="Candara" w:hAnsi="Candara"/>
          <w:b/>
          <w:bCs/>
          <w:sz w:val="22"/>
          <w:szCs w:val="18"/>
        </w:rPr>
        <w:t>Korak 9 – Angažman procjenitelja / vanjskog vještaka</w:t>
      </w:r>
      <w:r w:rsidRPr="00E907B3">
        <w:rPr>
          <w:rFonts w:ascii="Candara" w:hAnsi="Candara"/>
          <w:sz w:val="22"/>
          <w:szCs w:val="18"/>
        </w:rPr>
        <w:t xml:space="preserve"> - Ako je procjenitelj imenovan od strane osiguratelja, handler koordinira klijentov kontakt s procjeniteljem. - U slučaju sporne procjene, handler, uz odobrenje voditelja tima, može predložiti angažman neovisnog vještaka u korist klijenta.</w:t>
      </w:r>
    </w:p>
    <w:p w14:paraId="67C1C080" w14:textId="52586605" w:rsidR="00D64A19" w:rsidRPr="00E907B3" w:rsidRDefault="00D64A19">
      <w:pPr>
        <w:rPr>
          <w:rFonts w:ascii="Candara" w:hAnsi="Candara"/>
        </w:rPr>
      </w:pPr>
    </w:p>
    <w:p w14:paraId="0F02EB8F" w14:textId="77777777" w:rsidR="00D64A19" w:rsidRPr="00E907B3" w:rsidRDefault="00000000" w:rsidP="00E907B3">
      <w:pPr>
        <w:pStyle w:val="Heading2"/>
        <w:numPr>
          <w:ilvl w:val="0"/>
          <w:numId w:val="0"/>
        </w:numPr>
      </w:pPr>
      <w:bookmarkStart w:id="10" w:name="rješavanje-odštetnog-zahtjeva"/>
      <w:bookmarkEnd w:id="9"/>
      <w:r w:rsidRPr="00E907B3">
        <w:t>5.5 Rješavanje odštetnog zahtjeva</w:t>
      </w:r>
    </w:p>
    <w:p w14:paraId="7E13867E" w14:textId="77777777" w:rsidR="00D64A19" w:rsidRPr="00E907B3" w:rsidRDefault="00000000">
      <w:pPr>
        <w:rPr>
          <w:rFonts w:ascii="Candara" w:hAnsi="Candara"/>
        </w:rPr>
      </w:pPr>
      <w:r w:rsidRPr="00E907B3">
        <w:rPr>
          <w:rFonts w:ascii="Candara" w:hAnsi="Candara"/>
          <w:b/>
          <w:bCs/>
        </w:rPr>
        <w:t>Korak 10 – Primitak odluke osiguratelja</w:t>
      </w:r>
      <w:r w:rsidRPr="00E907B3">
        <w:rPr>
          <w:rFonts w:ascii="Candara" w:hAnsi="Candara"/>
        </w:rPr>
        <w:t xml:space="preserve"> - Po primitku odštetne odluke osiguratelja, handler analizira prijedlog naknade. - Handler provjerava usklađenost prijedloga s uvjetima police i opsegom štete.</w:t>
      </w:r>
    </w:p>
    <w:p w14:paraId="4E1B7CCB" w14:textId="77777777" w:rsidR="00D64A19" w:rsidRPr="00E907B3" w:rsidRDefault="00000000" w:rsidP="00E907B3">
      <w:pPr>
        <w:rPr>
          <w:rFonts w:ascii="Candara" w:hAnsi="Candara"/>
        </w:rPr>
      </w:pPr>
      <w:r w:rsidRPr="00E907B3">
        <w:rPr>
          <w:rFonts w:ascii="Candara" w:hAnsi="Candara"/>
          <w:b/>
          <w:bCs/>
        </w:rPr>
        <w:t>Korak 11a – Prihvaćanje odštetnog prijedloga</w:t>
      </w:r>
      <w:r w:rsidRPr="00E907B3">
        <w:rPr>
          <w:rFonts w:ascii="Candara" w:hAnsi="Candara"/>
        </w:rPr>
        <w:t xml:space="preserve"> - Ako je prijedlog prihvatljiv, handler o tome pisano obavještava klijenta. - Klijent potvrđuje prihvaćanje i osiguratelj isplaćuje naknadu. - Šteta se zatvara u Fidelisu s datumom zatvaranja i iznosom naknade.</w:t>
      </w:r>
    </w:p>
    <w:p w14:paraId="0F8F5CAE" w14:textId="77777777" w:rsidR="00D64A19" w:rsidRPr="00E907B3" w:rsidRDefault="00000000" w:rsidP="00E907B3">
      <w:pPr>
        <w:rPr>
          <w:rFonts w:ascii="Candara" w:hAnsi="Candara"/>
        </w:rPr>
      </w:pPr>
      <w:r w:rsidRPr="00E907B3">
        <w:rPr>
          <w:rFonts w:ascii="Candara" w:hAnsi="Candara"/>
          <w:b/>
          <w:bCs/>
        </w:rPr>
        <w:t>Korak 11b – Prigovor na odštetni prijedlog</w:t>
      </w:r>
      <w:r w:rsidRPr="00E907B3">
        <w:rPr>
          <w:rFonts w:ascii="Candara" w:hAnsi="Candara"/>
        </w:rPr>
        <w:t xml:space="preserve"> - Ako je prijedlog neprihvatljiv (prenizak iznos, sporno isključenje pokrića), handler priprema pisani prigovor s argumentacijom i dokumentacijom. - Prigovor se dostavlja osiguratelju uz traženje ponovnog razmatranja. - Eskaliran postupak prati voditelj tima i, po potrebi, Uprava ANO-a. - Ako se ne postigne dogovor, klijentu se preporučaju raspoloživi pravni mehanizmi (arbitraža, HANFA posredovanje, sudski postupak).</w:t>
      </w:r>
    </w:p>
    <w:p w14:paraId="09E32607" w14:textId="244EB25F" w:rsidR="00D64A19" w:rsidRPr="00E907B3" w:rsidRDefault="00D64A19">
      <w:pPr>
        <w:rPr>
          <w:rFonts w:ascii="Candara" w:hAnsi="Candara"/>
        </w:rPr>
      </w:pPr>
    </w:p>
    <w:p w14:paraId="6A369177" w14:textId="77777777" w:rsidR="00D64A19" w:rsidRPr="00E907B3" w:rsidRDefault="00000000" w:rsidP="00E907B3">
      <w:pPr>
        <w:pStyle w:val="Heading2"/>
        <w:numPr>
          <w:ilvl w:val="0"/>
          <w:numId w:val="0"/>
        </w:numPr>
      </w:pPr>
      <w:bookmarkStart w:id="11" w:name="zatvaranje-predmeta-i-izvještavanje"/>
      <w:bookmarkEnd w:id="10"/>
      <w:r w:rsidRPr="00E907B3">
        <w:t>5.6 Zatvaranje predmeta i izvještavanje</w:t>
      </w:r>
    </w:p>
    <w:p w14:paraId="4A77618A" w14:textId="77777777" w:rsidR="00D64A19" w:rsidRPr="00E907B3" w:rsidRDefault="00000000">
      <w:pPr>
        <w:rPr>
          <w:rFonts w:ascii="Candara" w:hAnsi="Candara"/>
        </w:rPr>
      </w:pPr>
      <w:r w:rsidRPr="00E907B3">
        <w:rPr>
          <w:rFonts w:ascii="Candara" w:hAnsi="Candara"/>
          <w:b/>
          <w:bCs/>
        </w:rPr>
        <w:t>Korak 12 – Zatvaranje predmeta</w:t>
      </w:r>
      <w:r w:rsidRPr="00E907B3">
        <w:rPr>
          <w:rFonts w:ascii="Candara" w:hAnsi="Candara"/>
        </w:rPr>
        <w:t xml:space="preserve"> - Nakon finalizacije (isplata, odbijanje, povlačenje zahtjeva), handler zatvara predmet u Fidelisu s potpunom dokumentacijom. - Klijentu se dostavlja pisana potvrda o zatvaranju predmeta.</w:t>
      </w:r>
    </w:p>
    <w:p w14:paraId="6A075306" w14:textId="032A3BC4" w:rsidR="00D64A19" w:rsidRPr="00E907B3" w:rsidRDefault="00000000" w:rsidP="00E907B3">
      <w:pPr>
        <w:rPr>
          <w:rFonts w:ascii="Candara" w:hAnsi="Candara"/>
        </w:rPr>
      </w:pPr>
      <w:r w:rsidRPr="00E907B3">
        <w:rPr>
          <w:rFonts w:ascii="Candara" w:hAnsi="Candara"/>
          <w:b/>
          <w:bCs/>
        </w:rPr>
        <w:t>Korak 13 – Evidencija i izvještavanje</w:t>
      </w:r>
      <w:r w:rsidRPr="00E907B3">
        <w:rPr>
          <w:rFonts w:ascii="Candara" w:hAnsi="Candara"/>
        </w:rPr>
        <w:t xml:space="preserve"> - Voditelj tima za štete priprema kvartalni i godišnji izvještaj o stanju šteta. - Izvještaji sadrže: broj primljenih prijava, broj zatvorenih predmeta, prosječni rok rješavanja, ukupni iznos isplaćenih naknada, trend. - Godišnji izvještaj o povijesti šteta dostupan je klijentima na zahtjev ili se dostavlja kao dio godišnje revizije programa (vidi PR-01).</w:t>
      </w:r>
    </w:p>
    <w:p w14:paraId="05651649" w14:textId="77777777" w:rsidR="00E907B3" w:rsidRDefault="00E907B3">
      <w:pPr>
        <w:spacing w:after="160" w:line="259" w:lineRule="auto"/>
        <w:jc w:val="left"/>
        <w:rPr>
          <w:rFonts w:ascii="Candara" w:eastAsiaTheme="majorEastAsia" w:hAnsi="Candara" w:cstheme="majorBidi"/>
          <w:b/>
          <w:smallCaps/>
          <w:color w:val="00A0DE"/>
          <w:sz w:val="32"/>
          <w:szCs w:val="32"/>
        </w:rPr>
      </w:pPr>
      <w:bookmarkStart w:id="12" w:name="evidencije"/>
      <w:bookmarkEnd w:id="5"/>
      <w:bookmarkEnd w:id="11"/>
      <w:r>
        <w:rPr>
          <w:rFonts w:ascii="Candara" w:hAnsi="Candara"/>
        </w:rPr>
        <w:br w:type="page"/>
      </w:r>
    </w:p>
    <w:p w14:paraId="3608F6C1" w14:textId="23C2DB55" w:rsidR="00D64A19" w:rsidRPr="00E907B3" w:rsidRDefault="00000000" w:rsidP="00E907B3">
      <w:pPr>
        <w:pStyle w:val="Heading1"/>
        <w:numPr>
          <w:ilvl w:val="0"/>
          <w:numId w:val="0"/>
        </w:numPr>
        <w:jc w:val="left"/>
        <w:rPr>
          <w:rFonts w:ascii="Candara" w:hAnsi="Candara"/>
        </w:rPr>
      </w:pPr>
      <w:r w:rsidRPr="00E907B3">
        <w:rPr>
          <w:rFonts w:ascii="Candara" w:hAnsi="Candara"/>
        </w:rPr>
        <w:lastRenderedPageBreak/>
        <w:t>6. Evidencije</w:t>
      </w:r>
    </w:p>
    <w:tbl>
      <w:tblPr>
        <w:tblStyle w:val="GridTable4-Accent1"/>
        <w:tblW w:w="5000" w:type="pct"/>
        <w:tblLayout w:type="fixed"/>
        <w:tblLook w:val="0020" w:firstRow="1" w:lastRow="0" w:firstColumn="0" w:lastColumn="0" w:noHBand="0" w:noVBand="0"/>
      </w:tblPr>
      <w:tblGrid>
        <w:gridCol w:w="3681"/>
        <w:gridCol w:w="1701"/>
        <w:gridCol w:w="2126"/>
        <w:gridCol w:w="1554"/>
      </w:tblGrid>
      <w:tr w:rsidR="00D64A19" w:rsidRPr="00E907B3" w14:paraId="1B8A62FD" w14:textId="77777777" w:rsidTr="00E907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1" w:type="dxa"/>
          </w:tcPr>
          <w:p w14:paraId="10EF2155" w14:textId="77777777" w:rsidR="00D64A19" w:rsidRPr="00E907B3" w:rsidRDefault="00000000" w:rsidP="00E907B3">
            <w:pPr>
              <w:spacing w:after="0"/>
              <w:rPr>
                <w:rFonts w:ascii="Candara" w:hAnsi="Candara"/>
              </w:rPr>
            </w:pPr>
            <w:r w:rsidRPr="00E907B3">
              <w:rPr>
                <w:rFonts w:ascii="Candara" w:hAnsi="Candara"/>
              </w:rPr>
              <w:t>Evidencija</w:t>
            </w:r>
          </w:p>
        </w:tc>
        <w:tc>
          <w:tcPr>
            <w:tcW w:w="1701" w:type="dxa"/>
          </w:tcPr>
          <w:p w14:paraId="40DE7DD7" w14:textId="77777777" w:rsidR="00D64A19" w:rsidRPr="00E907B3" w:rsidRDefault="00000000" w:rsidP="00E907B3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E907B3">
              <w:rPr>
                <w:rFonts w:ascii="Candara" w:hAnsi="Candara"/>
              </w:rPr>
              <w:t>Format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328E7148" w14:textId="77777777" w:rsidR="00D64A19" w:rsidRPr="00E907B3" w:rsidRDefault="00000000" w:rsidP="00E907B3">
            <w:pPr>
              <w:spacing w:after="0"/>
              <w:rPr>
                <w:rFonts w:ascii="Candara" w:hAnsi="Candara"/>
              </w:rPr>
            </w:pPr>
            <w:r w:rsidRPr="00E907B3">
              <w:rPr>
                <w:rFonts w:ascii="Candara" w:hAnsi="Candara"/>
              </w:rPr>
              <w:t>Lokacija pohrane</w:t>
            </w:r>
          </w:p>
        </w:tc>
        <w:tc>
          <w:tcPr>
            <w:tcW w:w="1554" w:type="dxa"/>
          </w:tcPr>
          <w:p w14:paraId="1D9C9845" w14:textId="77777777" w:rsidR="00D64A19" w:rsidRPr="00E907B3" w:rsidRDefault="00000000" w:rsidP="00E907B3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E907B3">
              <w:rPr>
                <w:rFonts w:ascii="Candara" w:hAnsi="Candara"/>
              </w:rPr>
              <w:t>Rok čuvanja</w:t>
            </w:r>
          </w:p>
        </w:tc>
      </w:tr>
      <w:tr w:rsidR="00D64A19" w:rsidRPr="00E907B3" w14:paraId="5FAACE2D" w14:textId="77777777" w:rsidTr="00E907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1" w:type="dxa"/>
          </w:tcPr>
          <w:p w14:paraId="2704482C" w14:textId="77777777" w:rsidR="00D64A19" w:rsidRPr="00E907B3" w:rsidRDefault="00000000" w:rsidP="00E907B3">
            <w:pPr>
              <w:spacing w:after="0"/>
              <w:rPr>
                <w:rFonts w:ascii="Candara" w:hAnsi="Candara"/>
              </w:rPr>
            </w:pPr>
            <w:r w:rsidRPr="00E907B3">
              <w:rPr>
                <w:rFonts w:ascii="Candara" w:hAnsi="Candara"/>
              </w:rPr>
              <w:t>Registar prijava šteta</w:t>
            </w:r>
          </w:p>
        </w:tc>
        <w:tc>
          <w:tcPr>
            <w:tcW w:w="1701" w:type="dxa"/>
          </w:tcPr>
          <w:p w14:paraId="6A5185AA" w14:textId="77777777" w:rsidR="00D64A19" w:rsidRPr="00E907B3" w:rsidRDefault="00000000" w:rsidP="00E907B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E907B3">
              <w:rPr>
                <w:rFonts w:ascii="Candara" w:hAnsi="Candara"/>
              </w:rPr>
              <w:t>Fidelis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5481C81D" w14:textId="77777777" w:rsidR="00D64A19" w:rsidRPr="00E907B3" w:rsidRDefault="00000000" w:rsidP="00E907B3">
            <w:pPr>
              <w:spacing w:after="0"/>
              <w:rPr>
                <w:rFonts w:ascii="Candara" w:hAnsi="Candara"/>
              </w:rPr>
            </w:pPr>
            <w:r w:rsidRPr="00E907B3">
              <w:rPr>
                <w:rFonts w:ascii="Candara" w:hAnsi="Candara"/>
              </w:rPr>
              <w:t>Fidelis</w:t>
            </w:r>
          </w:p>
        </w:tc>
        <w:tc>
          <w:tcPr>
            <w:tcW w:w="1554" w:type="dxa"/>
          </w:tcPr>
          <w:p w14:paraId="11E6D5F5" w14:textId="77777777" w:rsidR="00D64A19" w:rsidRPr="00E907B3" w:rsidRDefault="00000000" w:rsidP="00E907B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E907B3">
              <w:rPr>
                <w:rFonts w:ascii="Candara" w:hAnsi="Candara"/>
              </w:rPr>
              <w:t>11 godina</w:t>
            </w:r>
          </w:p>
        </w:tc>
      </w:tr>
      <w:tr w:rsidR="00D64A19" w:rsidRPr="00E907B3" w14:paraId="12E41283" w14:textId="77777777" w:rsidTr="00E907B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1" w:type="dxa"/>
          </w:tcPr>
          <w:p w14:paraId="36B47AB3" w14:textId="77777777" w:rsidR="00D64A19" w:rsidRPr="00E907B3" w:rsidRDefault="00000000" w:rsidP="00E907B3">
            <w:pPr>
              <w:spacing w:after="0"/>
              <w:rPr>
                <w:rFonts w:ascii="Candara" w:hAnsi="Candara"/>
              </w:rPr>
            </w:pPr>
            <w:r w:rsidRPr="00E907B3">
              <w:rPr>
                <w:rFonts w:ascii="Candara" w:hAnsi="Candara"/>
              </w:rPr>
              <w:t>Dokumentacija pojedinog predmeta (prijava, prepiska, odluka)</w:t>
            </w:r>
          </w:p>
        </w:tc>
        <w:tc>
          <w:tcPr>
            <w:tcW w:w="1701" w:type="dxa"/>
          </w:tcPr>
          <w:p w14:paraId="44D40383" w14:textId="77777777" w:rsidR="00D64A19" w:rsidRPr="00E907B3" w:rsidRDefault="00000000" w:rsidP="00E907B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E907B3">
              <w:rPr>
                <w:rFonts w:ascii="Candara" w:hAnsi="Candara"/>
              </w:rPr>
              <w:t>PDF/e-mail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1497944E" w14:textId="77777777" w:rsidR="00D64A19" w:rsidRPr="00E907B3" w:rsidRDefault="00000000" w:rsidP="00E907B3">
            <w:pPr>
              <w:spacing w:after="0"/>
              <w:rPr>
                <w:rFonts w:ascii="Candara" w:hAnsi="Candara"/>
              </w:rPr>
            </w:pPr>
            <w:r w:rsidRPr="00E907B3">
              <w:rPr>
                <w:rFonts w:ascii="Candara" w:hAnsi="Candara"/>
              </w:rPr>
              <w:t>Fidelis</w:t>
            </w:r>
          </w:p>
        </w:tc>
        <w:tc>
          <w:tcPr>
            <w:tcW w:w="1554" w:type="dxa"/>
          </w:tcPr>
          <w:p w14:paraId="16213467" w14:textId="77777777" w:rsidR="00D64A19" w:rsidRPr="00E907B3" w:rsidRDefault="00000000" w:rsidP="00E907B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E907B3">
              <w:rPr>
                <w:rFonts w:ascii="Candara" w:hAnsi="Candara"/>
              </w:rPr>
              <w:t>11 godina</w:t>
            </w:r>
          </w:p>
        </w:tc>
      </w:tr>
      <w:tr w:rsidR="00D64A19" w:rsidRPr="00E907B3" w14:paraId="7A170581" w14:textId="77777777" w:rsidTr="00E907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1" w:type="dxa"/>
          </w:tcPr>
          <w:p w14:paraId="52A6DCD1" w14:textId="77777777" w:rsidR="00D64A19" w:rsidRPr="00E907B3" w:rsidRDefault="00000000" w:rsidP="00E907B3">
            <w:pPr>
              <w:spacing w:after="0"/>
              <w:rPr>
                <w:rFonts w:ascii="Candara" w:hAnsi="Candara"/>
              </w:rPr>
            </w:pPr>
            <w:r w:rsidRPr="00E907B3">
              <w:rPr>
                <w:rFonts w:ascii="Candara" w:hAnsi="Candara"/>
              </w:rPr>
              <w:t>Godišnji i kvartalni izvještaji o štetama</w:t>
            </w:r>
          </w:p>
        </w:tc>
        <w:tc>
          <w:tcPr>
            <w:tcW w:w="1701" w:type="dxa"/>
          </w:tcPr>
          <w:p w14:paraId="667224BA" w14:textId="77777777" w:rsidR="00D64A19" w:rsidRPr="00E907B3" w:rsidRDefault="00000000" w:rsidP="00E907B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E907B3">
              <w:rPr>
                <w:rFonts w:ascii="Candara" w:hAnsi="Candara"/>
              </w:rPr>
              <w:t>PDF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43F7D580" w14:textId="77777777" w:rsidR="00D64A19" w:rsidRPr="00E907B3" w:rsidRDefault="00000000" w:rsidP="00E907B3">
            <w:pPr>
              <w:spacing w:after="0"/>
              <w:rPr>
                <w:rFonts w:ascii="Candara" w:hAnsi="Candara"/>
              </w:rPr>
            </w:pPr>
            <w:r w:rsidRPr="00E907B3">
              <w:rPr>
                <w:rFonts w:ascii="Candara" w:hAnsi="Candara"/>
              </w:rPr>
              <w:t>SharePoint / Fidelis</w:t>
            </w:r>
          </w:p>
        </w:tc>
        <w:tc>
          <w:tcPr>
            <w:tcW w:w="1554" w:type="dxa"/>
          </w:tcPr>
          <w:p w14:paraId="15C678DA" w14:textId="77777777" w:rsidR="00D64A19" w:rsidRPr="00E907B3" w:rsidRDefault="00000000" w:rsidP="00E907B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E907B3">
              <w:rPr>
                <w:rFonts w:ascii="Candara" w:hAnsi="Candara"/>
              </w:rPr>
              <w:t>5 godina</w:t>
            </w:r>
          </w:p>
        </w:tc>
      </w:tr>
      <w:tr w:rsidR="00D64A19" w:rsidRPr="00E907B3" w14:paraId="15C461B8" w14:textId="77777777" w:rsidTr="00E907B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1" w:type="dxa"/>
          </w:tcPr>
          <w:p w14:paraId="603B1C8C" w14:textId="77777777" w:rsidR="00D64A19" w:rsidRPr="00E907B3" w:rsidRDefault="00000000" w:rsidP="00E907B3">
            <w:pPr>
              <w:spacing w:after="0"/>
              <w:rPr>
                <w:rFonts w:ascii="Candara" w:hAnsi="Candara"/>
              </w:rPr>
            </w:pPr>
            <w:r w:rsidRPr="00E907B3">
              <w:rPr>
                <w:rFonts w:ascii="Candara" w:hAnsi="Candara"/>
              </w:rPr>
              <w:t>Evidencija komunikacije s osigurateljem</w:t>
            </w:r>
          </w:p>
        </w:tc>
        <w:tc>
          <w:tcPr>
            <w:tcW w:w="1701" w:type="dxa"/>
          </w:tcPr>
          <w:p w14:paraId="56C31C45" w14:textId="77777777" w:rsidR="00D64A19" w:rsidRPr="00E907B3" w:rsidRDefault="00000000" w:rsidP="00E907B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E907B3">
              <w:rPr>
                <w:rFonts w:ascii="Candara" w:hAnsi="Candara"/>
              </w:rPr>
              <w:t>E-mail / Fidelis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1620751C" w14:textId="77777777" w:rsidR="00D64A19" w:rsidRPr="00E907B3" w:rsidRDefault="00000000" w:rsidP="00E907B3">
            <w:pPr>
              <w:spacing w:after="0"/>
              <w:rPr>
                <w:rFonts w:ascii="Candara" w:hAnsi="Candara"/>
              </w:rPr>
            </w:pPr>
            <w:r w:rsidRPr="00E907B3">
              <w:rPr>
                <w:rFonts w:ascii="Candara" w:hAnsi="Candara"/>
              </w:rPr>
              <w:t>Fidelis</w:t>
            </w:r>
          </w:p>
        </w:tc>
        <w:tc>
          <w:tcPr>
            <w:tcW w:w="1554" w:type="dxa"/>
          </w:tcPr>
          <w:p w14:paraId="7639782E" w14:textId="77777777" w:rsidR="00D64A19" w:rsidRPr="00E907B3" w:rsidRDefault="00000000" w:rsidP="00E907B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E907B3">
              <w:rPr>
                <w:rFonts w:ascii="Candara" w:hAnsi="Candara"/>
              </w:rPr>
              <w:t>11 godina</w:t>
            </w:r>
          </w:p>
        </w:tc>
      </w:tr>
    </w:tbl>
    <w:p w14:paraId="29E57DA0" w14:textId="43AF3B14" w:rsidR="00D64A19" w:rsidRPr="00E907B3" w:rsidRDefault="00D64A19">
      <w:pPr>
        <w:rPr>
          <w:rFonts w:ascii="Candara" w:hAnsi="Candara"/>
        </w:rPr>
      </w:pPr>
    </w:p>
    <w:p w14:paraId="64113C4A" w14:textId="77777777" w:rsidR="00D64A19" w:rsidRPr="00E907B3" w:rsidRDefault="00000000" w:rsidP="00E907B3">
      <w:pPr>
        <w:pStyle w:val="Heading1"/>
        <w:numPr>
          <w:ilvl w:val="0"/>
          <w:numId w:val="0"/>
        </w:numPr>
        <w:jc w:val="left"/>
        <w:rPr>
          <w:rFonts w:ascii="Candara" w:hAnsi="Candara"/>
        </w:rPr>
      </w:pPr>
      <w:bookmarkStart w:id="13" w:name="referentni-dokumenti"/>
      <w:bookmarkEnd w:id="12"/>
      <w:r w:rsidRPr="00E907B3">
        <w:rPr>
          <w:rFonts w:ascii="Candara" w:hAnsi="Candara"/>
        </w:rPr>
        <w:t>7. Referentni dokumenti</w:t>
      </w:r>
    </w:p>
    <w:p w14:paraId="0442C292" w14:textId="77777777" w:rsidR="00D64A19" w:rsidRPr="00E907B3" w:rsidRDefault="00000000" w:rsidP="00E907B3">
      <w:pPr>
        <w:numPr>
          <w:ilvl w:val="0"/>
          <w:numId w:val="12"/>
        </w:numPr>
        <w:spacing w:after="0"/>
        <w:rPr>
          <w:rFonts w:ascii="Candara" w:hAnsi="Candara"/>
        </w:rPr>
      </w:pPr>
      <w:r w:rsidRPr="00E907B3">
        <w:rPr>
          <w:rFonts w:ascii="Candara" w:hAnsi="Candara"/>
        </w:rPr>
        <w:t>Zakon o osiguranju (NN 30/15, 112/18, 63/20, 133/20, 152/24)</w:t>
      </w:r>
    </w:p>
    <w:p w14:paraId="102F0CCB" w14:textId="77777777" w:rsidR="00D64A19" w:rsidRPr="00E907B3" w:rsidRDefault="00000000" w:rsidP="00E907B3">
      <w:pPr>
        <w:numPr>
          <w:ilvl w:val="0"/>
          <w:numId w:val="12"/>
        </w:numPr>
        <w:spacing w:after="0"/>
        <w:rPr>
          <w:rFonts w:ascii="Candara" w:hAnsi="Candara"/>
        </w:rPr>
      </w:pPr>
      <w:r w:rsidRPr="00E907B3">
        <w:rPr>
          <w:rFonts w:ascii="Candara" w:hAnsi="Candara"/>
        </w:rPr>
        <w:t>Direktiva (EU) 2016/97 o distribuciji osiguranja (IDD)</w:t>
      </w:r>
    </w:p>
    <w:p w14:paraId="780A9299" w14:textId="77777777" w:rsidR="00D64A19" w:rsidRPr="00E907B3" w:rsidRDefault="00000000" w:rsidP="00E907B3">
      <w:pPr>
        <w:numPr>
          <w:ilvl w:val="0"/>
          <w:numId w:val="12"/>
        </w:numPr>
        <w:spacing w:after="0"/>
        <w:rPr>
          <w:rFonts w:ascii="Candara" w:hAnsi="Candara"/>
        </w:rPr>
      </w:pPr>
      <w:r w:rsidRPr="00E907B3">
        <w:rPr>
          <w:rFonts w:ascii="Candara" w:hAnsi="Candara"/>
        </w:rPr>
        <w:t>Uvjeti osiguranja pojedinih osiguratelja</w:t>
      </w:r>
    </w:p>
    <w:p w14:paraId="48A6E307" w14:textId="77777777" w:rsidR="00D64A19" w:rsidRPr="00E907B3" w:rsidRDefault="00000000" w:rsidP="00E907B3">
      <w:pPr>
        <w:numPr>
          <w:ilvl w:val="0"/>
          <w:numId w:val="12"/>
        </w:numPr>
        <w:spacing w:after="0"/>
        <w:rPr>
          <w:rFonts w:ascii="Candara" w:hAnsi="Candara"/>
        </w:rPr>
      </w:pPr>
      <w:r w:rsidRPr="00E907B3">
        <w:rPr>
          <w:rFonts w:ascii="Candara" w:hAnsi="Candara"/>
        </w:rPr>
        <w:t>PR-01 – Upravljanje klijentima i brokerskim uslugama</w:t>
      </w:r>
    </w:p>
    <w:p w14:paraId="45606F84" w14:textId="77777777" w:rsidR="00D64A19" w:rsidRPr="00E907B3" w:rsidRDefault="00000000" w:rsidP="00E907B3">
      <w:pPr>
        <w:numPr>
          <w:ilvl w:val="0"/>
          <w:numId w:val="12"/>
        </w:numPr>
        <w:spacing w:after="0"/>
        <w:rPr>
          <w:rFonts w:ascii="Candara" w:hAnsi="Candara"/>
        </w:rPr>
      </w:pPr>
      <w:r w:rsidRPr="00E907B3">
        <w:rPr>
          <w:rFonts w:ascii="Candara" w:hAnsi="Candara"/>
        </w:rPr>
        <w:t>PR-05 – Postupanje po pritužbama i korektivnim radnjama</w:t>
      </w:r>
    </w:p>
    <w:p w14:paraId="481D525C" w14:textId="382D7A07" w:rsidR="00D64A19" w:rsidRPr="00E907B3" w:rsidRDefault="00000000" w:rsidP="00E907B3">
      <w:pPr>
        <w:numPr>
          <w:ilvl w:val="0"/>
          <w:numId w:val="12"/>
        </w:numPr>
        <w:spacing w:after="0"/>
        <w:rPr>
          <w:rFonts w:ascii="Candara" w:hAnsi="Candara"/>
        </w:rPr>
      </w:pPr>
      <w:r w:rsidRPr="00E907B3">
        <w:rPr>
          <w:rFonts w:ascii="Candara" w:hAnsi="Candara"/>
        </w:rPr>
        <w:t>Interna procedura ANO d.o.o. – Upravljanje kvalitetom kroz poslovanje (v1.0, 2025.)</w:t>
      </w:r>
    </w:p>
    <w:p w14:paraId="3EB6CCDE" w14:textId="77777777" w:rsidR="00E907B3" w:rsidRDefault="00E907B3">
      <w:pPr>
        <w:rPr>
          <w:rFonts w:ascii="Candara" w:hAnsi="Candara"/>
          <w:i/>
          <w:iCs/>
        </w:rPr>
      </w:pPr>
    </w:p>
    <w:p w14:paraId="27ED6F96" w14:textId="1214B029" w:rsidR="00D64A19" w:rsidRPr="00E907B3" w:rsidRDefault="00000000">
      <w:pPr>
        <w:rPr>
          <w:rFonts w:ascii="Candara" w:hAnsi="Candara"/>
          <w:sz w:val="20"/>
          <w:szCs w:val="20"/>
        </w:rPr>
      </w:pPr>
      <w:r w:rsidRPr="00E907B3">
        <w:rPr>
          <w:rFonts w:ascii="Candara" w:hAnsi="Candara"/>
          <w:i/>
          <w:iCs/>
          <w:sz w:val="20"/>
          <w:szCs w:val="20"/>
        </w:rPr>
        <w:t>Dokument je vlasništvo ANO d.o.o. Zabranjena je distribucija izvan organizacije bez odobrenja Uprave.</w:t>
      </w:r>
      <w:bookmarkEnd w:id="0"/>
      <w:bookmarkEnd w:id="13"/>
    </w:p>
    <w:sectPr w:rsidR="00D64A19" w:rsidRPr="00E907B3" w:rsidSect="00E026AD">
      <w:headerReference w:type="default" r:id="rId7"/>
      <w:footerReference w:type="default" r:id="rId8"/>
      <w:footerReference w:type="first" r:id="rId9"/>
      <w:pgSz w:w="11906" w:h="16838"/>
      <w:pgMar w:top="1639" w:right="1417" w:bottom="1417" w:left="1417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4AE39" w14:textId="77777777" w:rsidR="0021143A" w:rsidRDefault="0021143A">
      <w:pPr>
        <w:spacing w:after="0"/>
      </w:pPr>
      <w:r>
        <w:separator/>
      </w:r>
    </w:p>
  </w:endnote>
  <w:endnote w:type="continuationSeparator" w:id="0">
    <w:p w14:paraId="6092519D" w14:textId="77777777" w:rsidR="0021143A" w:rsidRDefault="0021143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fe L2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single" w:sz="4" w:space="0" w:color="00A0DE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8364"/>
      <w:gridCol w:w="708"/>
    </w:tblGrid>
    <w:tr w:rsidR="0045054A" w14:paraId="33D9D76D" w14:textId="77777777" w:rsidTr="00F43F09">
      <w:trPr>
        <w:trHeight w:val="558"/>
      </w:trPr>
      <w:tc>
        <w:tcPr>
          <w:tcW w:w="8364" w:type="dxa"/>
          <w:tcBorders>
            <w:right w:val="nil"/>
          </w:tcBorders>
          <w:vAlign w:val="center"/>
        </w:tcPr>
        <w:p w14:paraId="50BD1586" w14:textId="77777777" w:rsidR="0045054A" w:rsidRPr="00CA45E3" w:rsidRDefault="0045054A" w:rsidP="0045054A">
          <w:pPr>
            <w:pStyle w:val="Footer"/>
            <w:jc w:val="center"/>
            <w:rPr>
              <w:color w:val="00A0DE"/>
              <w:sz w:val="18"/>
            </w:rPr>
          </w:pPr>
          <w:r>
            <w:rPr>
              <w:color w:val="00A0DE"/>
              <w:sz w:val="18"/>
            </w:rPr>
            <w:t>PR-03 — OBRADA ŠTETA I ODŠTETNIH ZAHTJEVA</w:t>
          </w:r>
        </w:p>
        <w:p w14:paraId="00EF8D93" w14:textId="77777777" w:rsidR="0045054A" w:rsidRDefault="0045054A" w:rsidP="0045054A">
          <w:pPr>
            <w:pStyle w:val="Footer"/>
            <w:jc w:val="center"/>
          </w:pPr>
          <w:r>
            <w:rPr>
              <w:color w:val="00A0DE"/>
              <w:sz w:val="18"/>
            </w:rPr>
            <w:t>v1.0</w:t>
          </w:r>
        </w:p>
      </w:tc>
      <w:tc>
        <w:tcPr>
          <w:tcW w:w="708" w:type="dxa"/>
          <w:tcBorders>
            <w:top w:val="single" w:sz="4" w:space="0" w:color="00A0DE"/>
            <w:left w:val="nil"/>
            <w:bottom w:val="nil"/>
          </w:tcBorders>
          <w:shd w:val="clear" w:color="auto" w:fill="00A0DE"/>
          <w:vAlign w:val="bottom"/>
        </w:tcPr>
        <w:p w14:paraId="0116F65B" w14:textId="77777777" w:rsidR="0045054A" w:rsidRPr="005472B0" w:rsidRDefault="0045054A" w:rsidP="0045054A">
          <w:pPr>
            <w:spacing w:after="0"/>
            <w:jc w:val="center"/>
            <w:rPr>
              <w:color w:val="FFFFFF" w:themeColor="background1"/>
              <w:sz w:val="20"/>
              <w:szCs w:val="28"/>
            </w:rPr>
          </w:pPr>
          <w:r w:rsidRPr="005472B0">
            <w:rPr>
              <w:color w:val="FFFFFF" w:themeColor="background1"/>
              <w:sz w:val="20"/>
              <w:szCs w:val="28"/>
            </w:rPr>
            <w:fldChar w:fldCharType="begin"/>
          </w:r>
          <w:r w:rsidRPr="005472B0">
            <w:rPr>
              <w:color w:val="FFFFFF" w:themeColor="background1"/>
              <w:sz w:val="20"/>
              <w:szCs w:val="28"/>
            </w:rPr>
            <w:instrText xml:space="preserve"> PAGE   \* MERGEFORMAT </w:instrText>
          </w:r>
          <w:r w:rsidRPr="005472B0">
            <w:rPr>
              <w:color w:val="FFFFFF" w:themeColor="background1"/>
              <w:sz w:val="20"/>
              <w:szCs w:val="28"/>
            </w:rPr>
            <w:fldChar w:fldCharType="separate"/>
          </w:r>
          <w:r>
            <w:rPr>
              <w:color w:val="FFFFFF" w:themeColor="background1"/>
              <w:sz w:val="20"/>
              <w:szCs w:val="28"/>
            </w:rPr>
            <w:t>2</w:t>
          </w:r>
          <w:r w:rsidRPr="005472B0">
            <w:rPr>
              <w:noProof/>
              <w:color w:val="FFFFFF" w:themeColor="background1"/>
              <w:sz w:val="20"/>
              <w:szCs w:val="28"/>
            </w:rPr>
            <w:fldChar w:fldCharType="end"/>
          </w:r>
        </w:p>
        <w:p w14:paraId="68F5AC24" w14:textId="77777777" w:rsidR="0045054A" w:rsidRPr="00CA45E3" w:rsidRDefault="0045054A" w:rsidP="0045054A">
          <w:pPr>
            <w:pStyle w:val="Footer"/>
            <w:jc w:val="center"/>
            <w:rPr>
              <w:color w:val="00A0DE"/>
              <w:sz w:val="18"/>
            </w:rPr>
          </w:pPr>
        </w:p>
      </w:tc>
    </w:tr>
  </w:tbl>
  <w:p w14:paraId="472A42DE" w14:textId="77777777" w:rsidR="002C4BA8" w:rsidRDefault="002C4BA8" w:rsidP="004505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/>
      </w:rPr>
      <w:id w:val="-1057238381"/>
      <w:picture/>
    </w:sdtPr>
    <w:sdtContent>
      <w:p w14:paraId="26C5E7DB" w14:textId="77777777" w:rsidR="002C4BA8" w:rsidRDefault="0045054A" w:rsidP="00E026AD">
        <w:pPr>
          <w:pStyle w:val="Footer"/>
          <w:jc w:val="right"/>
        </w:pPr>
        <w:r>
          <w:rPr>
            <w:noProof/>
          </w:rPr>
          <w:drawing>
            <wp:inline distT="0" distB="0" distL="0" distR="0" wp14:anchorId="7185034C" wp14:editId="16DC7F29">
              <wp:extent cx="2632710" cy="576580"/>
              <wp:effectExtent l="0" t="0" r="0" b="0"/>
              <wp:docPr id="56" name="Picture 5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6" name="Picture 56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32710" cy="5765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35259" w14:textId="77777777" w:rsidR="0021143A" w:rsidRDefault="0021143A">
      <w:pPr>
        <w:spacing w:after="0"/>
      </w:pPr>
      <w:r>
        <w:separator/>
      </w:r>
    </w:p>
  </w:footnote>
  <w:footnote w:type="continuationSeparator" w:id="0">
    <w:p w14:paraId="66533038" w14:textId="77777777" w:rsidR="0021143A" w:rsidRDefault="0021143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36" w:space="0" w:color="00A0D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2C4BA8" w:rsidRPr="00C40BE8" w14:paraId="75C05A70" w14:textId="77777777" w:rsidTr="0045054A">
      <w:sdt>
        <w:sdtPr>
          <w:rPr>
            <w:noProof/>
          </w:rPr>
          <w:id w:val="-1453777751"/>
          <w:picture/>
        </w:sdtPr>
        <w:sdtContent>
          <w:tc>
            <w:tcPr>
              <w:tcW w:w="4531" w:type="dxa"/>
            </w:tcPr>
            <w:p w14:paraId="359A7555" w14:textId="77777777" w:rsidR="002C4BA8" w:rsidRDefault="0045054A" w:rsidP="00137CF3">
              <w:pPr>
                <w:pStyle w:val="Header"/>
                <w:tabs>
                  <w:tab w:val="left" w:pos="2157"/>
                </w:tabs>
                <w:ind w:left="315"/>
              </w:pPr>
              <w:r>
                <w:rPr>
                  <w:noProof/>
                </w:rPr>
                <w:drawing>
                  <wp:inline distT="0" distB="0" distL="0" distR="0" wp14:anchorId="50AFD7E6" wp14:editId="04FA6342">
                    <wp:extent cx="1174750" cy="257175"/>
                    <wp:effectExtent l="0" t="0" r="6350" b="9525"/>
                    <wp:docPr id="55" name="Picture 55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5" name="Picture 55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174750" cy="25717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4531" w:type="dxa"/>
        </w:tcPr>
        <w:p w14:paraId="01941BC5" w14:textId="77777777" w:rsidR="002C4BA8" w:rsidRPr="00C40BE8" w:rsidRDefault="002C4BA8" w:rsidP="005472B0">
          <w:pPr>
            <w:pStyle w:val="Header"/>
            <w:tabs>
              <w:tab w:val="left" w:pos="1455"/>
            </w:tabs>
            <w:jc w:val="right"/>
            <w:rPr>
              <w:smallCaps/>
              <w:color w:val="44546A" w:themeColor="text2"/>
              <w:sz w:val="20"/>
            </w:rPr>
          </w:pPr>
        </w:p>
        <w:p w14:paraId="29F9F889" w14:textId="77777777" w:rsidR="002C4BA8" w:rsidRPr="00C40BE8" w:rsidRDefault="002C4BA8" w:rsidP="00AA76E1">
          <w:pPr>
            <w:pStyle w:val="Header"/>
            <w:jc w:val="right"/>
            <w:rPr>
              <w:smallCaps/>
              <w:color w:val="2F5496" w:themeColor="accent1" w:themeShade="BF"/>
            </w:rPr>
          </w:pPr>
          <w:r>
            <w:rPr>
              <w:b/>
              <w:smallCaps/>
              <w:color w:val="00A0DE"/>
              <w:sz w:val="20"/>
            </w:rPr>
            <w:t xml:space="preserve">Procedura </w:t>
          </w:r>
          <w:r>
            <w:rPr>
              <w:b/>
              <w:smallCaps/>
              <w:color w:val="44546A" w:themeColor="text2"/>
              <w:sz w:val="20"/>
            </w:rPr>
            <w:t xml:space="preserve">- </w:t>
          </w:r>
          <w:r>
            <w:rPr>
              <w:b/>
              <w:smallCaps/>
              <w:color w:val="FF0000"/>
              <w:sz w:val="20"/>
            </w:rPr>
            <w:t>Interno</w:t>
          </w:r>
        </w:p>
      </w:tc>
    </w:tr>
  </w:tbl>
  <w:p w14:paraId="6F5A68A4" w14:textId="77777777" w:rsidR="002C4BA8" w:rsidRPr="005472B0" w:rsidRDefault="002C4BA8" w:rsidP="005472B0">
    <w:pPr>
      <w:pStyle w:val="Header"/>
      <w:tabs>
        <w:tab w:val="left" w:pos="1455"/>
      </w:tabs>
      <w:rPr>
        <w:sz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CEE0D05" wp14:editId="217BEF0D">
              <wp:simplePos x="0" y="0"/>
              <wp:positionH relativeFrom="column">
                <wp:posOffset>-619760</wp:posOffset>
              </wp:positionH>
              <wp:positionV relativeFrom="paragraph">
                <wp:posOffset>-327289</wp:posOffset>
              </wp:positionV>
              <wp:extent cx="801098" cy="325755"/>
              <wp:effectExtent l="0" t="0" r="0" b="0"/>
              <wp:wrapNone/>
              <wp:docPr id="22" name="Peteroku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1098" cy="325755"/>
                      </a:xfrm>
                      <a:prstGeom prst="homePlate">
                        <a:avLst/>
                      </a:prstGeom>
                      <a:solidFill>
                        <a:srgbClr val="00A0D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5F4B924" w14:textId="77777777" w:rsidR="002C4BA8" w:rsidRDefault="002C4BA8" w:rsidP="00137CF3">
                          <w:pPr>
                            <w:pStyle w:val="NoSpacing"/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="horz" wrap="square" lIns="91440" tIns="0" rIns="18288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EE0D05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terokut 4" o:spid="_x0000_s1026" type="#_x0000_t15" style="position:absolute;left:0;text-align:left;margin-left:-48.8pt;margin-top:-25.75pt;width:63.1pt;height:2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" adj="17208" fillcolor="#00a0de" stroked="f" strokeweight="1pt">
              <v:textbox inset=",0,14.4pt,0">
                <w:txbxContent>
                  <w:p w14:paraId="45F4B924" w14:textId="77777777" w:rsidR="002C4BA8" w:rsidRDefault="002C4BA8" w:rsidP="00137CF3">
                    <w:pPr>
                      <w:pStyle w:val="NoSpacing"/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6BD8A438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FB3E3326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1534B01"/>
    <w:multiLevelType w:val="hybridMultilevel"/>
    <w:tmpl w:val="68667C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B794A"/>
    <w:multiLevelType w:val="hybridMultilevel"/>
    <w:tmpl w:val="E05CBFF0"/>
    <w:lvl w:ilvl="0" w:tplc="F93E84E8"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56B56"/>
    <w:multiLevelType w:val="multilevel"/>
    <w:tmpl w:val="04090025"/>
    <w:styleLink w:val="Style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8700CE4"/>
    <w:multiLevelType w:val="hybridMultilevel"/>
    <w:tmpl w:val="583EC5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B837BC"/>
    <w:multiLevelType w:val="multilevel"/>
    <w:tmpl w:val="041A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4C5D4B39"/>
    <w:multiLevelType w:val="hybridMultilevel"/>
    <w:tmpl w:val="07AEDEDE"/>
    <w:lvl w:ilvl="0" w:tplc="041A000F">
      <w:start w:val="1"/>
      <w:numFmt w:val="decimal"/>
      <w:pStyle w:val="ListNumber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B0A38F7"/>
    <w:multiLevelType w:val="hybridMultilevel"/>
    <w:tmpl w:val="30D60C4E"/>
    <w:lvl w:ilvl="0" w:tplc="F93E84E8"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2B2934"/>
    <w:multiLevelType w:val="hybridMultilevel"/>
    <w:tmpl w:val="E5BE34C0"/>
    <w:lvl w:ilvl="0" w:tplc="BFC231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2B0C4E"/>
    <w:multiLevelType w:val="hybridMultilevel"/>
    <w:tmpl w:val="452E80C2"/>
    <w:lvl w:ilvl="0" w:tplc="C80047C0">
      <w:start w:val="1"/>
      <w:numFmt w:val="lowerLetter"/>
      <w:pStyle w:val="Tekst"/>
      <w:lvlText w:val="(%1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602726"/>
    <w:multiLevelType w:val="hybridMultilevel"/>
    <w:tmpl w:val="49CC6A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244547">
    <w:abstractNumId w:val="4"/>
  </w:num>
  <w:num w:numId="2" w16cid:durableId="1579828856">
    <w:abstractNumId w:val="9"/>
  </w:num>
  <w:num w:numId="3" w16cid:durableId="1343045997">
    <w:abstractNumId w:val="7"/>
  </w:num>
  <w:num w:numId="4" w16cid:durableId="600525811">
    <w:abstractNumId w:val="10"/>
  </w:num>
  <w:num w:numId="5" w16cid:durableId="225532237">
    <w:abstractNumId w:val="3"/>
  </w:num>
  <w:num w:numId="6" w16cid:durableId="1202864895">
    <w:abstractNumId w:val="8"/>
  </w:num>
  <w:num w:numId="7" w16cid:durableId="2027169207">
    <w:abstractNumId w:val="11"/>
  </w:num>
  <w:num w:numId="8" w16cid:durableId="2087799954">
    <w:abstractNumId w:val="2"/>
  </w:num>
  <w:num w:numId="9" w16cid:durableId="332297062">
    <w:abstractNumId w:val="5"/>
  </w:num>
  <w:num w:numId="10" w16cid:durableId="1823766685">
    <w:abstractNumId w:val="6"/>
  </w:num>
  <w:num w:numId="11" w16cid:durableId="143595378">
    <w:abstractNumId w:val="0"/>
  </w:num>
  <w:num w:numId="12" w16cid:durableId="996304781">
    <w:abstractNumId w:val="1"/>
  </w:num>
  <w:num w:numId="13" w16cid:durableId="784883131">
    <w:abstractNumId w:val="6"/>
  </w:num>
  <w:num w:numId="14" w16cid:durableId="847601630">
    <w:abstractNumId w:val="6"/>
  </w:num>
  <w:num w:numId="15" w16cid:durableId="1739553104">
    <w:abstractNumId w:val="6"/>
  </w:num>
  <w:num w:numId="16" w16cid:durableId="1360086479">
    <w:abstractNumId w:val="6"/>
  </w:num>
  <w:num w:numId="17" w16cid:durableId="973173713">
    <w:abstractNumId w:val="6"/>
  </w:num>
  <w:num w:numId="18" w16cid:durableId="892620838">
    <w:abstractNumId w:val="6"/>
  </w:num>
  <w:num w:numId="19" w16cid:durableId="1512598931">
    <w:abstractNumId w:val="6"/>
  </w:num>
  <w:num w:numId="20" w16cid:durableId="1436754624">
    <w:abstractNumId w:val="6"/>
  </w:num>
  <w:num w:numId="21" w16cid:durableId="830869367">
    <w:abstractNumId w:val="6"/>
  </w:num>
  <w:num w:numId="22" w16cid:durableId="648172173">
    <w:abstractNumId w:val="6"/>
  </w:num>
  <w:num w:numId="23" w16cid:durableId="9215986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embedSystemFonts/>
  <w:proofState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000"/>
    <w:rsid w:val="00031356"/>
    <w:rsid w:val="000331E5"/>
    <w:rsid w:val="00047000"/>
    <w:rsid w:val="00063F29"/>
    <w:rsid w:val="000D0CF4"/>
    <w:rsid w:val="00103DF4"/>
    <w:rsid w:val="00112974"/>
    <w:rsid w:val="00137CF3"/>
    <w:rsid w:val="00137ED3"/>
    <w:rsid w:val="001406D8"/>
    <w:rsid w:val="00145C81"/>
    <w:rsid w:val="00146B0C"/>
    <w:rsid w:val="001815B0"/>
    <w:rsid w:val="0018334C"/>
    <w:rsid w:val="001E17AB"/>
    <w:rsid w:val="0021143A"/>
    <w:rsid w:val="00213810"/>
    <w:rsid w:val="00242889"/>
    <w:rsid w:val="002A1A91"/>
    <w:rsid w:val="002A7D0D"/>
    <w:rsid w:val="002C4BA8"/>
    <w:rsid w:val="002E7BB1"/>
    <w:rsid w:val="002F6630"/>
    <w:rsid w:val="00302878"/>
    <w:rsid w:val="003235CB"/>
    <w:rsid w:val="00333CFF"/>
    <w:rsid w:val="003620E5"/>
    <w:rsid w:val="00384F39"/>
    <w:rsid w:val="003949CB"/>
    <w:rsid w:val="003E1A22"/>
    <w:rsid w:val="003E63DB"/>
    <w:rsid w:val="00424E3A"/>
    <w:rsid w:val="00435123"/>
    <w:rsid w:val="0045054A"/>
    <w:rsid w:val="0047654E"/>
    <w:rsid w:val="00496E7B"/>
    <w:rsid w:val="004C7AAE"/>
    <w:rsid w:val="004D4A72"/>
    <w:rsid w:val="00501FEF"/>
    <w:rsid w:val="00504F45"/>
    <w:rsid w:val="00517165"/>
    <w:rsid w:val="00520012"/>
    <w:rsid w:val="00534A63"/>
    <w:rsid w:val="0053575F"/>
    <w:rsid w:val="005472B0"/>
    <w:rsid w:val="00555740"/>
    <w:rsid w:val="00573448"/>
    <w:rsid w:val="00576884"/>
    <w:rsid w:val="00597EBF"/>
    <w:rsid w:val="005A0CAB"/>
    <w:rsid w:val="005D712A"/>
    <w:rsid w:val="00627E82"/>
    <w:rsid w:val="00657858"/>
    <w:rsid w:val="0066668C"/>
    <w:rsid w:val="00707C36"/>
    <w:rsid w:val="007133B2"/>
    <w:rsid w:val="00723710"/>
    <w:rsid w:val="00723D66"/>
    <w:rsid w:val="0073075D"/>
    <w:rsid w:val="007447A4"/>
    <w:rsid w:val="00750948"/>
    <w:rsid w:val="007729B9"/>
    <w:rsid w:val="007A75DB"/>
    <w:rsid w:val="007C50AC"/>
    <w:rsid w:val="007E6C30"/>
    <w:rsid w:val="00813BE8"/>
    <w:rsid w:val="008164D9"/>
    <w:rsid w:val="008413D4"/>
    <w:rsid w:val="00854DE5"/>
    <w:rsid w:val="00861229"/>
    <w:rsid w:val="0086672F"/>
    <w:rsid w:val="008C5705"/>
    <w:rsid w:val="008E4995"/>
    <w:rsid w:val="008E7043"/>
    <w:rsid w:val="009044A2"/>
    <w:rsid w:val="00913965"/>
    <w:rsid w:val="00923BAC"/>
    <w:rsid w:val="00955229"/>
    <w:rsid w:val="00961123"/>
    <w:rsid w:val="009C0A6E"/>
    <w:rsid w:val="009F0CD0"/>
    <w:rsid w:val="00A11C24"/>
    <w:rsid w:val="00A4533B"/>
    <w:rsid w:val="00A664BD"/>
    <w:rsid w:val="00AA76E1"/>
    <w:rsid w:val="00AB6556"/>
    <w:rsid w:val="00B34DE3"/>
    <w:rsid w:val="00B3760F"/>
    <w:rsid w:val="00B8461A"/>
    <w:rsid w:val="00B93E89"/>
    <w:rsid w:val="00BA30A9"/>
    <w:rsid w:val="00BA3B66"/>
    <w:rsid w:val="00BA3D65"/>
    <w:rsid w:val="00BB1BDA"/>
    <w:rsid w:val="00BC4C55"/>
    <w:rsid w:val="00BE7490"/>
    <w:rsid w:val="00BE7F98"/>
    <w:rsid w:val="00C40BE8"/>
    <w:rsid w:val="00C42894"/>
    <w:rsid w:val="00C52593"/>
    <w:rsid w:val="00C925A7"/>
    <w:rsid w:val="00CC6673"/>
    <w:rsid w:val="00D225F3"/>
    <w:rsid w:val="00D254D4"/>
    <w:rsid w:val="00D36C17"/>
    <w:rsid w:val="00D55417"/>
    <w:rsid w:val="00D64A19"/>
    <w:rsid w:val="00DB2B08"/>
    <w:rsid w:val="00DB64B4"/>
    <w:rsid w:val="00DC2B6D"/>
    <w:rsid w:val="00DC3E44"/>
    <w:rsid w:val="00DD1F25"/>
    <w:rsid w:val="00DD239A"/>
    <w:rsid w:val="00E026AD"/>
    <w:rsid w:val="00E174F3"/>
    <w:rsid w:val="00E2368D"/>
    <w:rsid w:val="00E40323"/>
    <w:rsid w:val="00E60684"/>
    <w:rsid w:val="00E907B3"/>
    <w:rsid w:val="00F0580B"/>
    <w:rsid w:val="00F210C8"/>
    <w:rsid w:val="00F54715"/>
    <w:rsid w:val="00F95AE4"/>
    <w:rsid w:val="00FA19ED"/>
    <w:rsid w:val="00FB33F5"/>
    <w:rsid w:val="00FF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0F8158"/>
  <w15:docId w15:val="{4B2C569A-327A-EC43-A479-619984059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C17"/>
    <w:pPr>
      <w:spacing w:after="120" w:line="240" w:lineRule="auto"/>
      <w:jc w:val="both"/>
    </w:pPr>
    <w:rPr>
      <w:rFonts w:ascii="Cambria" w:eastAsiaTheme="minorEastAsia" w:hAnsi="Cambria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054A"/>
    <w:pPr>
      <w:keepNext/>
      <w:keepLines/>
      <w:numPr>
        <w:numId w:val="10"/>
      </w:numPr>
      <w:pBdr>
        <w:bottom w:val="double" w:sz="4" w:space="1" w:color="00A0DE"/>
      </w:pBdr>
      <w:spacing w:before="240" w:after="360"/>
      <w:jc w:val="center"/>
      <w:outlineLvl w:val="0"/>
    </w:pPr>
    <w:rPr>
      <w:rFonts w:eastAsiaTheme="majorEastAsia" w:cstheme="majorBidi"/>
      <w:b/>
      <w:smallCaps/>
      <w:color w:val="00A0DE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17165"/>
    <w:pPr>
      <w:keepNext/>
      <w:keepLines/>
      <w:numPr>
        <w:ilvl w:val="1"/>
        <w:numId w:val="10"/>
      </w:numPr>
      <w:pBdr>
        <w:bottom w:val="single" w:sz="4" w:space="1" w:color="C00000"/>
      </w:pBdr>
      <w:spacing w:before="120"/>
      <w:outlineLvl w:val="1"/>
    </w:pPr>
    <w:rPr>
      <w:rFonts w:eastAsiaTheme="majorEastAsia" w:cstheme="majorBidi"/>
      <w:b/>
      <w:caps/>
      <w:color w:val="C00000"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34DE3"/>
    <w:pPr>
      <w:keepNext/>
      <w:keepLines/>
      <w:numPr>
        <w:ilvl w:val="2"/>
        <w:numId w:val="10"/>
      </w:numPr>
      <w:pBdr>
        <w:bottom w:val="wave" w:sz="6" w:space="1" w:color="44546A" w:themeColor="text2"/>
      </w:pBdr>
      <w:spacing w:before="120"/>
      <w:outlineLvl w:val="2"/>
    </w:pPr>
    <w:rPr>
      <w:rFonts w:eastAsiaTheme="majorEastAsia" w:cstheme="majorBidi"/>
      <w:b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1A91"/>
    <w:pPr>
      <w:keepNext/>
      <w:keepLines/>
      <w:numPr>
        <w:ilvl w:val="3"/>
        <w:numId w:val="1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1A91"/>
    <w:pPr>
      <w:keepNext/>
      <w:keepLines/>
      <w:numPr>
        <w:ilvl w:val="4"/>
        <w:numId w:val="10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1A91"/>
    <w:pPr>
      <w:keepNext/>
      <w:keepLines/>
      <w:numPr>
        <w:ilvl w:val="5"/>
        <w:numId w:val="10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1A91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1A91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1A91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000"/>
    <w:pPr>
      <w:ind w:left="720"/>
      <w:contextualSpacing/>
    </w:pPr>
  </w:style>
  <w:style w:type="table" w:styleId="TableGrid">
    <w:name w:val="Table Grid"/>
    <w:basedOn w:val="TableNormal"/>
    <w:uiPriority w:val="39"/>
    <w:rsid w:val="00183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18334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E40323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40323"/>
    <w:rPr>
      <w:rFonts w:eastAsiaTheme="minorEastAsia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E40323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40323"/>
    <w:rPr>
      <w:rFonts w:eastAsiaTheme="minorEastAsia"/>
      <w:lang w:eastAsia="hr-HR"/>
    </w:rPr>
  </w:style>
  <w:style w:type="paragraph" w:styleId="NoSpacing">
    <w:name w:val="No Spacing"/>
    <w:link w:val="NoSpacingChar"/>
    <w:uiPriority w:val="1"/>
    <w:qFormat/>
    <w:rsid w:val="00E026AD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026AD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5054A"/>
    <w:rPr>
      <w:rFonts w:ascii="Cambria" w:eastAsiaTheme="majorEastAsia" w:hAnsi="Cambria" w:cstheme="majorBidi"/>
      <w:b/>
      <w:smallCaps/>
      <w:color w:val="00A0DE"/>
      <w:sz w:val="32"/>
      <w:szCs w:val="32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517165"/>
    <w:rPr>
      <w:rFonts w:ascii="Cambria" w:eastAsiaTheme="majorEastAsia" w:hAnsi="Cambria" w:cstheme="majorBidi"/>
      <w:b/>
      <w:caps/>
      <w:color w:val="C00000"/>
      <w:sz w:val="24"/>
      <w:szCs w:val="2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B34DE3"/>
    <w:rPr>
      <w:rFonts w:ascii="Cambria" w:eastAsiaTheme="majorEastAsia" w:hAnsi="Cambria" w:cstheme="majorBidi"/>
      <w:b/>
      <w:color w:val="44546A" w:themeColor="text2"/>
      <w:sz w:val="24"/>
      <w:szCs w:val="24"/>
      <w:lang w:eastAsia="hr-HR"/>
    </w:rPr>
  </w:style>
  <w:style w:type="paragraph" w:styleId="TOCHeading">
    <w:name w:val="TOC Heading"/>
    <w:basedOn w:val="Heading1"/>
    <w:next w:val="Normal"/>
    <w:uiPriority w:val="39"/>
    <w:unhideWhenUsed/>
    <w:qFormat/>
    <w:rsid w:val="002A1A91"/>
    <w:pPr>
      <w:pBdr>
        <w:bottom w:val="none" w:sz="0" w:space="0" w:color="auto"/>
      </w:pBdr>
      <w:spacing w:after="0" w:line="259" w:lineRule="auto"/>
      <w:jc w:val="left"/>
      <w:outlineLvl w:val="9"/>
    </w:pPr>
    <w:rPr>
      <w:rFonts w:asciiTheme="majorHAnsi" w:hAnsiTheme="majorHAnsi"/>
      <w:b w:val="0"/>
      <w:smallCaps w:val="0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723710"/>
    <w:pPr>
      <w:pBdr>
        <w:bottom w:val="wave" w:sz="6" w:space="1" w:color="2F5496" w:themeColor="accent1" w:themeShade="BF"/>
      </w:pBdr>
      <w:tabs>
        <w:tab w:val="left" w:pos="440"/>
        <w:tab w:val="right" w:leader="dot" w:pos="9062"/>
      </w:tabs>
      <w:spacing w:after="100"/>
      <w:jc w:val="center"/>
    </w:pPr>
    <w:rPr>
      <w:b/>
      <w:smallCaps/>
      <w:noProof/>
      <w:color w:val="44546A" w:themeColor="text2"/>
    </w:rPr>
  </w:style>
  <w:style w:type="paragraph" w:styleId="TOC2">
    <w:name w:val="toc 2"/>
    <w:basedOn w:val="Normal"/>
    <w:next w:val="Normal"/>
    <w:autoRedefine/>
    <w:uiPriority w:val="39"/>
    <w:unhideWhenUsed/>
    <w:rsid w:val="00C40BE8"/>
    <w:pPr>
      <w:spacing w:after="100"/>
      <w:ind w:left="220"/>
    </w:pPr>
    <w:rPr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2A1A9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2A1A91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1A91"/>
    <w:rPr>
      <w:rFonts w:asciiTheme="majorHAnsi" w:eastAsiaTheme="majorEastAsia" w:hAnsiTheme="majorHAnsi" w:cstheme="majorBidi"/>
      <w:i/>
      <w:iCs/>
      <w:color w:val="2F5496" w:themeColor="accent1" w:themeShade="BF"/>
      <w:lang w:eastAsia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1A91"/>
    <w:rPr>
      <w:rFonts w:asciiTheme="majorHAnsi" w:eastAsiaTheme="majorEastAsia" w:hAnsiTheme="majorHAnsi" w:cstheme="majorBidi"/>
      <w:color w:val="2F5496" w:themeColor="accent1" w:themeShade="BF"/>
      <w:lang w:eastAsia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1A91"/>
    <w:rPr>
      <w:rFonts w:asciiTheme="majorHAnsi" w:eastAsiaTheme="majorEastAsia" w:hAnsiTheme="majorHAnsi" w:cstheme="majorBidi"/>
      <w:color w:val="1F3763" w:themeColor="accent1" w:themeShade="7F"/>
      <w:lang w:eastAsia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1A91"/>
    <w:rPr>
      <w:rFonts w:asciiTheme="majorHAnsi" w:eastAsiaTheme="majorEastAsia" w:hAnsiTheme="majorHAnsi" w:cstheme="majorBidi"/>
      <w:i/>
      <w:iCs/>
      <w:color w:val="1F3763" w:themeColor="accent1" w:themeShade="7F"/>
      <w:lang w:eastAsia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1A9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1A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hr-HR"/>
    </w:rPr>
  </w:style>
  <w:style w:type="numbering" w:customStyle="1" w:styleId="Style1">
    <w:name w:val="Style1"/>
    <w:uiPriority w:val="99"/>
    <w:rsid w:val="002A1A91"/>
    <w:pPr>
      <w:numPr>
        <w:numId w:val="1"/>
      </w:numPr>
    </w:pPr>
  </w:style>
  <w:style w:type="table" w:styleId="GridTable7Colorful-Accent5">
    <w:name w:val="Grid Table 7 Colorful Accent 5"/>
    <w:basedOn w:val="TableNormal"/>
    <w:uiPriority w:val="52"/>
    <w:rsid w:val="00BE7490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5Dark-Accent1">
    <w:name w:val="Grid Table 5 Dark Accent 1"/>
    <w:basedOn w:val="TableNormal"/>
    <w:uiPriority w:val="50"/>
    <w:rsid w:val="00BE749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BodyText">
    <w:name w:val="Body Text"/>
    <w:basedOn w:val="Normal"/>
    <w:link w:val="BodyTextChar"/>
    <w:rsid w:val="00DD1F25"/>
    <w:pPr>
      <w:spacing w:after="0"/>
      <w:ind w:right="-1050"/>
    </w:pPr>
    <w:rPr>
      <w:rFonts w:ascii="Arial" w:eastAsia="Times New Roman" w:hAnsi="Ari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DD1F25"/>
    <w:rPr>
      <w:rFonts w:ascii="Arial" w:eastAsia="Times New Roman" w:hAnsi="Arial" w:cs="Times New Roman"/>
      <w:sz w:val="24"/>
      <w:szCs w:val="20"/>
      <w:lang w:eastAsia="hr-HR"/>
    </w:rPr>
  </w:style>
  <w:style w:type="paragraph" w:customStyle="1" w:styleId="Default">
    <w:name w:val="Default"/>
    <w:rsid w:val="005A0CAB"/>
    <w:pPr>
      <w:widowControl w:val="0"/>
      <w:autoSpaceDE w:val="0"/>
      <w:autoSpaceDN w:val="0"/>
      <w:adjustRightInd w:val="0"/>
      <w:spacing w:after="0" w:line="240" w:lineRule="auto"/>
    </w:pPr>
    <w:rPr>
      <w:rFonts w:ascii="Life L2" w:eastAsia="Times New Roman" w:hAnsi="Life L2" w:cs="Life L2"/>
      <w:color w:val="000000"/>
      <w:sz w:val="24"/>
      <w:szCs w:val="24"/>
      <w:lang w:eastAsia="hr-HR"/>
    </w:rPr>
  </w:style>
  <w:style w:type="paragraph" w:customStyle="1" w:styleId="Tekst1">
    <w:name w:val="Tekst 1"/>
    <w:basedOn w:val="Normal"/>
    <w:rsid w:val="005A0CAB"/>
    <w:pPr>
      <w:spacing w:before="240" w:after="240" w:line="360" w:lineRule="auto"/>
      <w:ind w:left="794"/>
    </w:pPr>
    <w:rPr>
      <w:rFonts w:ascii="Arial" w:eastAsia="Times New Roman" w:hAnsi="Arial" w:cs="Times New Roman"/>
      <w:szCs w:val="24"/>
    </w:rPr>
  </w:style>
  <w:style w:type="paragraph" w:customStyle="1" w:styleId="Tekst">
    <w:name w:val="Tekst"/>
    <w:basedOn w:val="ListNumber"/>
    <w:link w:val="TekstChar"/>
    <w:rsid w:val="005A0CAB"/>
    <w:pPr>
      <w:numPr>
        <w:numId w:val="4"/>
      </w:numPr>
      <w:spacing w:before="120" w:line="360" w:lineRule="auto"/>
      <w:contextualSpacing w:val="0"/>
    </w:pPr>
    <w:rPr>
      <w:rFonts w:ascii="Arial" w:eastAsia="Times New Roman" w:hAnsi="Arial" w:cs="Times New Roman"/>
      <w:sz w:val="20"/>
      <w:szCs w:val="20"/>
    </w:rPr>
  </w:style>
  <w:style w:type="character" w:customStyle="1" w:styleId="TekstChar">
    <w:name w:val="Tekst Char"/>
    <w:link w:val="Tekst"/>
    <w:rsid w:val="005A0CAB"/>
    <w:rPr>
      <w:rFonts w:ascii="Arial" w:eastAsia="Times New Roman" w:hAnsi="Arial" w:cs="Times New Roman"/>
      <w:sz w:val="20"/>
      <w:szCs w:val="20"/>
      <w:lang w:eastAsia="hr-HR"/>
    </w:rPr>
  </w:style>
  <w:style w:type="paragraph" w:customStyle="1" w:styleId="Clanak">
    <w:name w:val="Clanak"/>
    <w:basedOn w:val="BodyText"/>
    <w:rsid w:val="005A0CAB"/>
    <w:pPr>
      <w:spacing w:before="240" w:after="120" w:line="276" w:lineRule="auto"/>
      <w:ind w:right="0"/>
      <w:jc w:val="center"/>
    </w:pPr>
    <w:rPr>
      <w:b/>
      <w:sz w:val="22"/>
      <w:szCs w:val="22"/>
      <w:lang w:eastAsia="en-US"/>
    </w:rPr>
  </w:style>
  <w:style w:type="paragraph" w:customStyle="1" w:styleId="Podrucje">
    <w:name w:val="Podrucje"/>
    <w:basedOn w:val="BodyText"/>
    <w:rsid w:val="005A0CAB"/>
    <w:pPr>
      <w:spacing w:after="120" w:line="276" w:lineRule="auto"/>
      <w:ind w:right="0"/>
      <w:jc w:val="left"/>
    </w:pPr>
    <w:rPr>
      <w:b/>
      <w:sz w:val="22"/>
      <w:szCs w:val="22"/>
      <w:lang w:eastAsia="en-US"/>
    </w:rPr>
  </w:style>
  <w:style w:type="paragraph" w:styleId="ListNumber">
    <w:name w:val="List Number"/>
    <w:basedOn w:val="Normal"/>
    <w:uiPriority w:val="99"/>
    <w:semiHidden/>
    <w:unhideWhenUsed/>
    <w:rsid w:val="005A0CAB"/>
    <w:pPr>
      <w:numPr>
        <w:numId w:val="3"/>
      </w:numPr>
      <w:contextualSpacing/>
    </w:pPr>
  </w:style>
  <w:style w:type="character" w:styleId="PlaceholderText">
    <w:name w:val="Placeholder Text"/>
    <w:basedOn w:val="DefaultParagraphFont"/>
    <w:uiPriority w:val="99"/>
    <w:semiHidden/>
    <w:rsid w:val="00AA76E1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765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65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654E"/>
    <w:rPr>
      <w:rFonts w:ascii="Cambria" w:eastAsiaTheme="minorEastAsia" w:hAnsi="Cambria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65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654E"/>
    <w:rPr>
      <w:rFonts w:ascii="Cambria" w:eastAsiaTheme="minorEastAsia" w:hAnsi="Cambria"/>
      <w:b/>
      <w:bCs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654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54E"/>
    <w:rPr>
      <w:rFonts w:ascii="Segoe UI" w:eastAsiaTheme="minorEastAsia" w:hAnsi="Segoe UI" w:cs="Segoe UI"/>
      <w:sz w:val="18"/>
      <w:szCs w:val="18"/>
      <w:lang w:eastAsia="hr-HR"/>
    </w:rPr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  <w:style w:type="table" w:styleId="GridTable4-Accent5">
    <w:name w:val="Grid Table 4 Accent 5"/>
    <w:basedOn w:val="TableNormal"/>
    <w:uiPriority w:val="49"/>
    <w:rsid w:val="00E907B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1">
    <w:name w:val="Grid Table 4 Accent 1"/>
    <w:basedOn w:val="TableNormal"/>
    <w:uiPriority w:val="49"/>
    <w:rsid w:val="00E907B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6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1140</Words>
  <Characters>6501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Pravilnik o provedbi videonadzora</vt:lpstr>
    </vt:vector>
  </TitlesOfParts>
  <Company/>
  <LinksUpToDate>false</LinksUpToDate>
  <CharactersWithSpaces>7626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Daniel Bara</cp:lastModifiedBy>
  <cp:revision>2</cp:revision>
  <dcterms:created xsi:type="dcterms:W3CDTF">2026-04-11T16:24:00Z</dcterms:created>
  <dcterms:modified xsi:type="dcterms:W3CDTF">2026-04-11T17:38:00Z</dcterms:modified>
</cp:coreProperties>
</file>