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1ef023773e8adc317e9dfae4e61e79b60fe460"/>
    <w:p>
      <w:pPr>
        <w:pStyle w:val="Heading1"/>
      </w:pPr>
      <w:r>
        <w:t xml:space="preserve">Sustav upravljanja kvalitetom — Interne procedure ANO d.o.o.</w:t>
      </w:r>
    </w:p>
    <w:p>
      <w:pPr>
        <w:pStyle w:val="FirstParagraph"/>
      </w:pPr>
      <w:r>
        <w:rPr>
          <w:b/>
          <w:bCs/>
        </w:rPr>
        <w:t xml:space="preserve">Dokument:</w:t>
      </w:r>
      <w:r>
        <w:t xml:space="preserve"> </w:t>
      </w:r>
      <w:r>
        <w:t xml:space="preserve">Indeks internih procedura</w:t>
      </w:r>
      <w:r>
        <w:t xml:space="preserve"> </w:t>
      </w:r>
      <w:r>
        <w:rPr>
          <w:b/>
          <w:bCs/>
        </w:rPr>
        <w:t xml:space="preserve">Oznaka:</w:t>
      </w:r>
      <w:r>
        <w:t xml:space="preserve"> </w:t>
      </w:r>
      <w:r>
        <w:t xml:space="preserve">QMS-INDEKS-v1.0</w:t>
      </w:r>
      <w:r>
        <w:t xml:space="preserve"> </w:t>
      </w:r>
      <w:r>
        <w:rPr>
          <w:b/>
          <w:bCs/>
        </w:rPr>
        <w:t xml:space="preserve">Datum:</w:t>
      </w:r>
      <w:r>
        <w:t xml:space="preserve"> </w:t>
      </w:r>
      <w:r>
        <w:t xml:space="preserve">11. travnja 2026.</w:t>
      </w:r>
      <w:r>
        <w:t xml:space="preserve"> </w:t>
      </w:r>
      <w:r>
        <w:rPr>
          <w:b/>
          <w:bCs/>
        </w:rPr>
        <w:t xml:space="preserve">Odobrio:</w:t>
      </w:r>
      <w:r>
        <w:t xml:space="preserve"> </w:t>
      </w:r>
      <w:r>
        <w:t xml:space="preserve">Uprava ANO d.o.o.</w:t>
      </w:r>
    </w:p>
    <w:p>
      <w:r>
        <w:pict>
          <v:rect style="width:0;height:1.5pt" o:hralign="center" o:hrstd="t" o:hr="t"/>
        </w:pict>
      </w:r>
    </w:p>
    <w:bookmarkStart w:id="19" w:name="o-ovom-dokumentu"/>
    <w:p>
      <w:pPr>
        <w:pStyle w:val="Heading2"/>
      </w:pPr>
      <w:r>
        <w:t xml:space="preserve">O ovom dokumentu</w:t>
      </w:r>
    </w:p>
    <w:p>
      <w:pPr>
        <w:pStyle w:val="FirstParagraph"/>
      </w:pPr>
      <w:r>
        <w:t xml:space="preserve">ANO d.o.o. za brokerske poslove u osiguranju i reosiguranju (OIB: 47303262039, Ilica 216, 10000 Zagreb) provodi sustav upravljanja kvalitetom (QMS) kroz skup pisanih internih procedura koje pokrivaju sve ključne poslovne procese.</w:t>
      </w:r>
    </w:p>
    <w:p>
      <w:pPr>
        <w:pStyle w:val="BodyText"/>
      </w:pPr>
      <w:r>
        <w:t xml:space="preserve">Ovaj dokument služi kao indeks i uvod u sustav upravljanja kvalitetom ANO-a te je namijenjen klijentima, poslovnim partnerima i nadležnim tijelima koji zahtijevaju dokaze o primjerenim mjerama osiguranja kvalitete u skladu s uvjetima poslovne suradnje.</w:t>
      </w:r>
    </w:p>
    <w:p>
      <w:pPr>
        <w:pStyle w:val="BodyText"/>
      </w:pPr>
      <w:r>
        <w:t xml:space="preserve">Budući da ANO d.o.o. nije nositelj certifikata po normi ISO 9001, ovaj skup pisanih internih procedura predstavlja jednakovrijedan dokaz sustava upravljanja kvalitetom sukladno načelima dobre poslovne prakse i zahtjevima IDD direktive.</w:t>
      </w:r>
    </w:p>
    <w:p>
      <w:r>
        <w:pict>
          <v:rect style="width:0;height:1.5pt" o:hralign="center" o:hrstd="t" o:hr="t"/>
        </w:pict>
      </w:r>
    </w:p>
    <w:bookmarkEnd w:id="19"/>
    <w:bookmarkStart w:id="20" w:name="popis-internih-procedura"/>
    <w:p>
      <w:pPr>
        <w:pStyle w:val="Heading2"/>
      </w:pPr>
      <w:r>
        <w:t xml:space="preserve">Popis internih procedura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93"/>
        <w:gridCol w:w="2586"/>
        <w:gridCol w:w="1454"/>
        <w:gridCol w:w="1454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Oznaka</w:t>
            </w:r>
          </w:p>
        </w:tc>
        <w:tc>
          <w:tcPr/>
          <w:p>
            <w:pPr>
              <w:pStyle w:val="Compact"/>
            </w:pPr>
            <w:r>
              <w:t xml:space="preserve">Naziv procedure</w:t>
            </w:r>
          </w:p>
        </w:tc>
        <w:tc>
          <w:tcPr/>
          <w:p>
            <w:pPr>
              <w:pStyle w:val="Compact"/>
            </w:pPr>
            <w:r>
              <w:t xml:space="preserve">Vlasnik</w:t>
            </w:r>
          </w:p>
        </w:tc>
        <w:tc>
          <w:tcPr/>
          <w:p>
            <w:pPr>
              <w:pStyle w:val="Compact"/>
            </w:pPr>
            <w:r>
              <w:t xml:space="preserve">Verzija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PR-01</w:t>
            </w:r>
          </w:p>
        </w:tc>
        <w:tc>
          <w:tcPr/>
          <w:p>
            <w:pPr>
              <w:pStyle w:val="Compact"/>
            </w:pPr>
            <w:r>
              <w:t xml:space="preserve">Upravljanje klijentima i brokerskim uslugama</w:t>
            </w:r>
          </w:p>
        </w:tc>
        <w:tc>
          <w:tcPr/>
          <w:p>
            <w:pPr>
              <w:pStyle w:val="Compact"/>
            </w:pPr>
            <w:r>
              <w:t xml:space="preserve">Voditelj prodajnog tima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11.4.2026.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PR-02</w:t>
            </w:r>
          </w:p>
        </w:tc>
        <w:tc>
          <w:tcPr/>
          <w:p>
            <w:pPr>
              <w:pStyle w:val="Compact"/>
            </w:pPr>
            <w:r>
              <w:t xml:space="preserve">Izrada, pregled i odobravanje dokumentacije</w:t>
            </w:r>
          </w:p>
        </w:tc>
        <w:tc>
          <w:tcPr/>
          <w:p>
            <w:pPr>
              <w:pStyle w:val="Compact"/>
            </w:pPr>
            <w:r>
              <w:t xml:space="preserve">Voditelj prodajnog tima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11.4.2026.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PR-03</w:t>
            </w:r>
          </w:p>
        </w:tc>
        <w:tc>
          <w:tcPr/>
          <w:p>
            <w:pPr>
              <w:pStyle w:val="Compact"/>
            </w:pPr>
            <w:r>
              <w:t xml:space="preserve">Obrada šteta i odštetnih zahtjeva</w:t>
            </w:r>
          </w:p>
        </w:tc>
        <w:tc>
          <w:tcPr/>
          <w:p>
            <w:pPr>
              <w:pStyle w:val="Compact"/>
            </w:pPr>
            <w:r>
              <w:t xml:space="preserve">Voditelj tima za štete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11.4.2026.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PR-04</w:t>
            </w:r>
          </w:p>
        </w:tc>
        <w:tc>
          <w:tcPr/>
          <w:p>
            <w:pPr>
              <w:pStyle w:val="Compact"/>
            </w:pPr>
            <w:r>
              <w:t xml:space="preserve">Procjena rizika i priprema osigurateljnih rješenja</w:t>
            </w:r>
          </w:p>
        </w:tc>
        <w:tc>
          <w:tcPr/>
          <w:p>
            <w:pPr>
              <w:pStyle w:val="Compact"/>
            </w:pPr>
            <w:r>
              <w:t xml:space="preserve">Voditelj prodajnog tima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11.4.2026.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PR-05</w:t>
            </w:r>
          </w:p>
        </w:tc>
        <w:tc>
          <w:tcPr/>
          <w:p>
            <w:pPr>
              <w:pStyle w:val="Compact"/>
            </w:pPr>
            <w:r>
              <w:t xml:space="preserve">Postupanje po pritužbama i korektivnim radnjama</w:t>
            </w:r>
          </w:p>
        </w:tc>
        <w:tc>
          <w:tcPr/>
          <w:p>
            <w:pPr>
              <w:pStyle w:val="Compact"/>
            </w:pPr>
            <w:r>
              <w:t xml:space="preserve">Uprava ANO d.o.o.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11.4.2026.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PR-06</w:t>
            </w:r>
          </w:p>
        </w:tc>
        <w:tc>
          <w:tcPr/>
          <w:p>
            <w:pPr>
              <w:pStyle w:val="Compact"/>
            </w:pPr>
            <w:r>
              <w:t xml:space="preserve">Upravljanje dokumentima i evidencijama</w:t>
            </w:r>
          </w:p>
        </w:tc>
        <w:tc>
          <w:tcPr/>
          <w:p>
            <w:pPr>
              <w:pStyle w:val="Compact"/>
            </w:pPr>
            <w:r>
              <w:t xml:space="preserve">Uprava ANO d.o.o.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11.4.2026.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PR-07</w:t>
            </w:r>
          </w:p>
        </w:tc>
        <w:tc>
          <w:tcPr/>
          <w:p>
            <w:pPr>
              <w:pStyle w:val="Compact"/>
            </w:pPr>
            <w:r>
              <w:t xml:space="preserve">Upravljanje kompetencijama i stručnim usavršavanjem</w:t>
            </w:r>
          </w:p>
        </w:tc>
        <w:tc>
          <w:tcPr/>
          <w:p>
            <w:pPr>
              <w:pStyle w:val="Compact"/>
            </w:pPr>
            <w:r>
              <w:t xml:space="preserve">Uprava ANO d.o.o.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11.4.2026.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PR-08</w:t>
            </w:r>
          </w:p>
        </w:tc>
        <w:tc>
          <w:tcPr/>
          <w:p>
            <w:pPr>
              <w:pStyle w:val="Compact"/>
            </w:pPr>
            <w:r>
              <w:t xml:space="preserve">Upravljanje sukobom interesa</w:t>
            </w:r>
          </w:p>
        </w:tc>
        <w:tc>
          <w:tcPr/>
          <w:p>
            <w:pPr>
              <w:pStyle w:val="Compact"/>
            </w:pPr>
            <w:r>
              <w:t xml:space="preserve">Uprava ANO d.o.o.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11.4.2026.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PR-09</w:t>
            </w:r>
          </w:p>
        </w:tc>
        <w:tc>
          <w:tcPr/>
          <w:p>
            <w:pPr>
              <w:pStyle w:val="Compact"/>
            </w:pPr>
            <w:r>
              <w:t xml:space="preserve">Interna provjera usklađenosti i upravljanje kvalitetom</w:t>
            </w:r>
          </w:p>
        </w:tc>
        <w:tc>
          <w:tcPr/>
          <w:p>
            <w:pPr>
              <w:pStyle w:val="Compact"/>
            </w:pPr>
            <w:r>
              <w:t xml:space="preserve">Uprava ANO d.o.o.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11.4.2026.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struktura-sustava-upravljanja-kvalitetom"/>
    <w:p>
      <w:pPr>
        <w:pStyle w:val="Heading2"/>
      </w:pPr>
      <w:r>
        <w:t xml:space="preserve">Struktura sustava upravljanja kvalitetom</w:t>
      </w:r>
    </w:p>
    <w:p>
      <w:pPr>
        <w:pStyle w:val="SourceCode"/>
      </w:pPr>
      <w:r>
        <w:rPr>
          <w:rStyle w:val="VerbatimChar"/>
        </w:rPr>
        <w:t xml:space="preserve">UPRAVA ANO d.o.o.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UPRAVLJANJE KLIJENTSKIM ODNOSIMA</w:t>
      </w:r>
      <w:r>
        <w:br/>
      </w:r>
      <w:r>
        <w:rPr>
          <w:rStyle w:val="VerbatimChar"/>
        </w:rPr>
        <w:t xml:space="preserve">│   ├── PR-01  Upravljanje klijentima i brokerskim uslugama</w:t>
      </w:r>
      <w:r>
        <w:br/>
      </w:r>
      <w:r>
        <w:rPr>
          <w:rStyle w:val="VerbatimChar"/>
        </w:rPr>
        <w:t xml:space="preserve">│   ├── PR-04  Procjena rizika i priprema osigurateljnih rješenja</w:t>
      </w:r>
      <w:r>
        <w:br/>
      </w:r>
      <w:r>
        <w:rPr>
          <w:rStyle w:val="VerbatimChar"/>
        </w:rPr>
        <w:t xml:space="preserve">│   └── PR-03  Obrada šteta i odštetnih zahtjeva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DOKUMENTACIJA I KONTROLA KVALITETE</w:t>
      </w:r>
      <w:r>
        <w:br/>
      </w:r>
      <w:r>
        <w:rPr>
          <w:rStyle w:val="VerbatimChar"/>
        </w:rPr>
        <w:t xml:space="preserve">│   ├── PR-02  Izrada, pregled i odobravanje dokumentacije</w:t>
      </w:r>
      <w:r>
        <w:br/>
      </w:r>
      <w:r>
        <w:rPr>
          <w:rStyle w:val="VerbatimChar"/>
        </w:rPr>
        <w:t xml:space="preserve">│   ├── PR-06  Upravljanje dokumentima i evidencijama</w:t>
      </w:r>
      <w:r>
        <w:br/>
      </w:r>
      <w:r>
        <w:rPr>
          <w:rStyle w:val="VerbatimChar"/>
        </w:rPr>
        <w:t xml:space="preserve">│   └── PR-09  Interna provjera usklađenosti i upravljanje kvalitetom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UPRAVLJANJE LJUDSKIM RESURSIMA I KOMPETENCIJAMA</w:t>
      </w:r>
      <w:r>
        <w:br/>
      </w:r>
      <w:r>
        <w:rPr>
          <w:rStyle w:val="VerbatimChar"/>
        </w:rPr>
        <w:t xml:space="preserve">│   └── PR-07  Upravljanje kompetencijama i stručnim usavršavanjem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└── USKLAĐENOST I ETIKA</w:t>
      </w:r>
      <w:r>
        <w:br/>
      </w:r>
      <w:r>
        <w:rPr>
          <w:rStyle w:val="VerbatimChar"/>
        </w:rPr>
        <w:t xml:space="preserve">    ├── PR-05  Postupanje po pritužbama i korektivnim radnjama</w:t>
      </w:r>
      <w:r>
        <w:br/>
      </w:r>
      <w:r>
        <w:rPr>
          <w:rStyle w:val="VerbatimChar"/>
        </w:rPr>
        <w:t xml:space="preserve">    └── PR-08  Upravljanje sukobom interesa</w:t>
      </w:r>
    </w:p>
    <w:p>
      <w:r>
        <w:pict>
          <v:rect style="width:0;height:1.5pt" o:hralign="center" o:hrstd="t" o:hr="t"/>
        </w:pict>
      </w:r>
    </w:p>
    <w:bookmarkEnd w:id="21"/>
    <w:bookmarkStart w:id="22" w:name="referentni-regulatorni-okvir"/>
    <w:p>
      <w:pPr>
        <w:pStyle w:val="Heading2"/>
      </w:pPr>
      <w:r>
        <w:t xml:space="preserve">Referentni regulatorni okvir</w:t>
      </w:r>
    </w:p>
    <w:p>
      <w:pPr>
        <w:pStyle w:val="FirstParagraph"/>
      </w:pPr>
      <w:r>
        <w:t xml:space="preserve">Sustav internih procedura ANO d.o.o. usklađen je 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64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Propis</w:t>
            </w:r>
          </w:p>
        </w:tc>
        <w:tc>
          <w:tcPr/>
          <w:p>
            <w:pPr>
              <w:pStyle w:val="Compact"/>
            </w:pPr>
            <w:r>
              <w:t xml:space="preserve">Ključni zahtjevi koji se pokrivaju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Zakon o osiguranju</w:t>
            </w:r>
            <w:r>
              <w:t xml:space="preserve"> </w:t>
            </w:r>
            <w:r>
              <w:t xml:space="preserve">(NN 30/15, 112/18, 63/20, 133/20, 152/24)</w:t>
            </w:r>
          </w:p>
        </w:tc>
        <w:tc>
          <w:tcPr/>
          <w:p>
            <w:pPr>
              <w:pStyle w:val="Compact"/>
            </w:pPr>
            <w:r>
              <w:t xml:space="preserve">Uvjeti posredovanja, obveze prema klijentima, pritužbe, ovlaštenja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Direktiva (EU) 2016/97 (IDD)</w:t>
            </w:r>
          </w:p>
        </w:tc>
        <w:tc>
          <w:tcPr/>
          <w:p>
            <w:pPr>
              <w:pStyle w:val="Compact"/>
            </w:pPr>
            <w:r>
              <w:t xml:space="preserve">Kompetencije distributera, sukob interesa, distribucija proizvoda, pritužbe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Uredba (EU) 2016/679 (GDPR)</w:t>
            </w:r>
          </w:p>
        </w:tc>
        <w:tc>
          <w:tcPr/>
          <w:p>
            <w:pPr>
              <w:pStyle w:val="Compact"/>
            </w:pPr>
            <w:r>
              <w:t xml:space="preserve">Zaštita osobnih podataka klijenata i zaposlenika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Aon Global Standards</w:t>
            </w:r>
          </w:p>
        </w:tc>
        <w:tc>
          <w:tcPr/>
          <w:p>
            <w:pPr>
              <w:pStyle w:val="Compact"/>
            </w:pPr>
            <w:r>
              <w:t xml:space="preserve">Antikorupcija, etički standardi, pословна usklađenost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X1d5f2b3aef6ca37ffd37feac9745699bc0f7c9b"/>
    <w:p>
      <w:pPr>
        <w:pStyle w:val="Heading2"/>
      </w:pPr>
      <w:r>
        <w:t xml:space="preserve">Pregled pratećih dokumenata sustava upravljanja kvalitetom</w:t>
      </w:r>
    </w:p>
    <w:p>
      <w:pPr>
        <w:pStyle w:val="FirstParagraph"/>
      </w:pPr>
      <w:r>
        <w:t xml:space="preserve">Uz navedene procedure, sustav upravljanja kvalitetom ANO-a uključuje i sljedeće usvojene dokumente: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68"/>
        <w:gridCol w:w="475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Dokument</w:t>
            </w:r>
          </w:p>
        </w:tc>
        <w:tc>
          <w:tcPr/>
          <w:p>
            <w:pPr>
              <w:pStyle w:val="Compact"/>
            </w:pPr>
            <w:r>
              <w:t xml:space="preserve">Oznaka / Opis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Politika distribucije proizvoda</w:t>
            </w:r>
          </w:p>
        </w:tc>
        <w:tc>
          <w:tcPr/>
          <w:p>
            <w:pPr>
              <w:pStyle w:val="Compact"/>
            </w:pPr>
            <w:r>
              <w:t xml:space="preserve">Interni dokument (SharePoint)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Pravilnik o rješavanju pritužbi</w:t>
            </w:r>
          </w:p>
        </w:tc>
        <w:tc>
          <w:tcPr/>
          <w:p>
            <w:pPr>
              <w:pStyle w:val="Compact"/>
            </w:pPr>
            <w:r>
              <w:t xml:space="preserve">Interni dokument (SharePoint)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Pravilnik o zaštiti osobnih podataka</w:t>
            </w:r>
          </w:p>
        </w:tc>
        <w:tc>
          <w:tcPr/>
          <w:p>
            <w:pPr>
              <w:pStyle w:val="Compact"/>
            </w:pPr>
            <w:r>
              <w:t xml:space="preserve">PRAVILNIK-GDPR-ANO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Obavijest o privatnosti</w:t>
            </w:r>
          </w:p>
        </w:tc>
        <w:tc>
          <w:tcPr/>
          <w:p>
            <w:pPr>
              <w:pStyle w:val="Compact"/>
            </w:pPr>
            <w:r>
              <w:t xml:space="preserve">ANO-obavijest-o-privatnosti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Procedura u slučaju povrede osobnih podataka</w:t>
            </w:r>
          </w:p>
        </w:tc>
        <w:tc>
          <w:tcPr/>
          <w:p>
            <w:pPr>
              <w:pStyle w:val="Compact"/>
            </w:pPr>
            <w:r>
              <w:t xml:space="preserve">ANO-Procedura-incidenti-v2.0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Politika zadržavanja i uništavanja zapisa</w:t>
            </w:r>
          </w:p>
        </w:tc>
        <w:tc>
          <w:tcPr/>
          <w:p>
            <w:pPr>
              <w:pStyle w:val="Compact"/>
            </w:pPr>
            <w:r>
              <w:t xml:space="preserve">ANO-Politika-zadrzavanja-zapisa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Politika sigurnosti informacijskog sustava</w:t>
            </w:r>
          </w:p>
        </w:tc>
        <w:tc>
          <w:tcPr/>
          <w:p>
            <w:pPr>
              <w:pStyle w:val="Compact"/>
            </w:pPr>
            <w:r>
              <w:t xml:space="preserve">ANO-Politika-sigurnosti-IS-v1.0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Opći uvjeti poslovanja ANO d.o.o.</w:t>
            </w:r>
          </w:p>
        </w:tc>
        <w:tc>
          <w:tcPr/>
          <w:p>
            <w:pPr>
              <w:pStyle w:val="Compact"/>
            </w:pPr>
            <w:r>
              <w:t xml:space="preserve">Javno dostupno na www.ano.hr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odgovornost-i-odobrenje"/>
    <w:p>
      <w:pPr>
        <w:pStyle w:val="Heading2"/>
      </w:pPr>
      <w:r>
        <w:t xml:space="preserve">Odgovornost i odobrenje</w:t>
      </w:r>
    </w:p>
    <w:p>
      <w:pPr>
        <w:pStyle w:val="FirstParagraph"/>
      </w:pPr>
      <w:r>
        <w:t xml:space="preserve">Sve procedure u ovom skupu odobrene su od strane Uprave ANO d.o.o. i stupaju na snagu danom navedenim u zaglavlju pojedinog dokumenta.</w:t>
      </w:r>
    </w:p>
    <w:p>
      <w:pPr>
        <w:pStyle w:val="BodyText"/>
      </w:pPr>
      <w:r>
        <w:t xml:space="preserve">Procedure se revidiraju minimalno jednom godišnje ili izvanredno u slučaju zakonodavnih ili organizacijskih promjena.</w:t>
      </w:r>
    </w:p>
    <w:p>
      <w:pPr>
        <w:pStyle w:val="BodyText"/>
      </w:pPr>
      <w:r>
        <w:t xml:space="preserve">Vlasnik sustava upravljanja kvalitetom je Uprava ANO d.o.o.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ANO d.o.o. za brokerske poslove u osiguranju i reosiguranju</w:t>
      </w:r>
      <w:r>
        <w:t xml:space="preserve"> </w:t>
      </w:r>
      <w:r>
        <w:t xml:space="preserve">Ilica 216 | 10000 Zagreb | OIB: 47303262039</w:t>
      </w:r>
      <w:r>
        <w:t xml:space="preserve"> </w:t>
      </w:r>
      <w:r>
        <w:t xml:space="preserve">www.ano.hr | In co-operation with Aon</w:t>
      </w:r>
    </w:p>
    <w:p>
      <w:pPr>
        <w:pStyle w:val="BodyText"/>
      </w:pPr>
      <w:r>
        <w:rPr>
          <w:i/>
          <w:iCs/>
        </w:rPr>
        <w:t xml:space="preserve">Distribuirati isključivo uz izričito odobrenje Uprave ANO d.o.o.</w:t>
      </w:r>
    </w:p>
    <w:bookmarkEnd w:id="24"/>
    <w:bookmarkEnd w:id="25"/>
    <w:sectPr w:rsidR="002C4BA8" w:rsidSect="00E026AD">
      <w:headerReference r:id="rId8" w:type="default"/>
      <w:footerReference r:id="rId9" w:type="default"/>
      <w:footerReference r:id="rId10" w:type="first"/>
      <w:pgSz w:h="16838" w:w="11906"/>
      <w:pgMar w:bottom="1417" w:footer="720" w:gutter="0" w:header="720" w:left="1417" w:right="1417" w:top="1639"/>
      <w:pgNumType w:start="0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feL2-Bold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 xml:space="preserve">Naziv procedure — SUSTAV UPRAVLJANJA KVALITETOM — INTERNE PROCEDURE AN...</w:t>
          </w:r>
        </w:p>
        <w:p w14:paraId="7C5E83CE" w14:textId="21A0CBDB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vDatum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0693B9AB" w14:textId="1FDCB7D4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Dokument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hanging="360" w:left="720"/>
      </w:pPr>
      <w:rPr>
        <w:rFonts w:asciiTheme="minorHAnsi" w:cstheme="minorBidi" w:eastAsiaTheme="minorHAnsi" w:hAnsiTheme="minorHAnsi" w:hint="default"/>
      </w:rPr>
    </w:lvl>
    <w:lvl w:ilvl="1" w:tentative="1" w:tplc="041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3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5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hanging="360" w:left="720"/>
      </w:pPr>
      <w:rPr>
        <w:rFonts w:cs="Times New Roman" w:hint="default"/>
      </w:rPr>
    </w:lvl>
    <w:lvl w:ilvl="1" w:tentative="1" w:tplc="041A0019">
      <w:start w:val="1"/>
      <w:numFmt w:val="lowerLetter"/>
      <w:lvlText w:val="%2."/>
      <w:lvlJc w:val="left"/>
      <w:pPr>
        <w:ind w:hanging="360" w:left="1440"/>
      </w:pPr>
      <w:rPr>
        <w:rFonts w:cs="Times New Roman"/>
      </w:rPr>
    </w:lvl>
    <w:lvl w:ilvl="2" w:tentative="1" w:tplc="041A001B">
      <w:start w:val="1"/>
      <w:numFmt w:val="lowerRoman"/>
      <w:lvlText w:val="%3."/>
      <w:lvlJc w:val="right"/>
      <w:pPr>
        <w:ind w:hanging="180" w:left="2160"/>
      </w:pPr>
      <w:rPr>
        <w:rFonts w:cs="Times New Roman"/>
      </w:rPr>
    </w:lvl>
    <w:lvl w:ilvl="3" w:tentative="1" w:tplc="041A000F">
      <w:start w:val="1"/>
      <w:numFmt w:val="decimal"/>
      <w:lvlText w:val="%4."/>
      <w:lvlJc w:val="left"/>
      <w:pPr>
        <w:ind w:hanging="360" w:left="2880"/>
      </w:pPr>
      <w:rPr>
        <w:rFonts w:cs="Times New Roman"/>
      </w:rPr>
    </w:lvl>
    <w:lvl w:ilvl="4" w:tentative="1" w:tplc="041A0019">
      <w:start w:val="1"/>
      <w:numFmt w:val="lowerLetter"/>
      <w:lvlText w:val="%5."/>
      <w:lvlJc w:val="left"/>
      <w:pPr>
        <w:ind w:hanging="360" w:left="3600"/>
      </w:pPr>
      <w:rPr>
        <w:rFonts w:cs="Times New Roman"/>
      </w:rPr>
    </w:lvl>
    <w:lvl w:ilvl="5" w:tentative="1" w:tplc="041A001B">
      <w:start w:val="1"/>
      <w:numFmt w:val="lowerRoman"/>
      <w:lvlText w:val="%6."/>
      <w:lvlJc w:val="right"/>
      <w:pPr>
        <w:ind w:hanging="180" w:left="4320"/>
      </w:pPr>
      <w:rPr>
        <w:rFonts w:cs="Times New Roman"/>
      </w:rPr>
    </w:lvl>
    <w:lvl w:ilvl="6" w:tentative="1" w:tplc="041A000F">
      <w:start w:val="1"/>
      <w:numFmt w:val="decimal"/>
      <w:lvlText w:val="%7."/>
      <w:lvlJc w:val="left"/>
      <w:pPr>
        <w:ind w:hanging="360" w:left="5040"/>
      </w:pPr>
      <w:rPr>
        <w:rFonts w:cs="Times New Roman"/>
      </w:rPr>
    </w:lvl>
    <w:lvl w:ilvl="7" w:tentative="1" w:tplc="041A0019">
      <w:start w:val="1"/>
      <w:numFmt w:val="lowerLetter"/>
      <w:lvlText w:val="%8."/>
      <w:lvlJc w:val="left"/>
      <w:pPr>
        <w:ind w:hanging="360" w:left="5760"/>
      </w:pPr>
      <w:rPr>
        <w:rFonts w:cs="Times New Roman"/>
      </w:rPr>
    </w:lvl>
    <w:lvl w:ilvl="8" w:tentative="1" w:tplc="041A001B">
      <w:start w:val="1"/>
      <w:numFmt w:val="lowerRoman"/>
      <w:lvlText w:val="%9."/>
      <w:lvlJc w:val="right"/>
      <w:pPr>
        <w:ind w:hanging="180" w:left="6480"/>
      </w:pPr>
      <w:rPr>
        <w:rFonts w:cs="Times New Roman"/>
      </w:rPr>
    </w:lvl>
  </w:abstractNum>
  <w:abstractNum w15:restartNumberingAfterBreak="0" w:abstractNumId="6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hanging="360" w:left="720"/>
      </w:pPr>
      <w:rPr>
        <w:rFonts w:asciiTheme="minorHAnsi" w:cstheme="minorBidi" w:eastAsiaTheme="minorHAnsi" w:hAnsiTheme="minorHAnsi" w:hint="default"/>
      </w:rPr>
    </w:lvl>
    <w:lvl w:ilvl="1" w:tentative="1" w:tplc="041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hanging="360" w:left="720"/>
      </w:pPr>
      <w:rPr>
        <w:rFonts w:hint="default"/>
      </w:rPr>
    </w:lvl>
    <w:lvl w:ilvl="1" w:tentative="1" w:tplc="041A0019">
      <w:start w:val="1"/>
      <w:numFmt w:val="lowerLetter"/>
      <w:lvlText w:val="%2."/>
      <w:lvlJc w:val="left"/>
      <w:pPr>
        <w:ind w:hanging="360" w:left="1440"/>
      </w:pPr>
    </w:lvl>
    <w:lvl w:ilvl="2" w:tentative="1" w:tplc="041A001B">
      <w:start w:val="1"/>
      <w:numFmt w:val="lowerRoman"/>
      <w:lvlText w:val="%3."/>
      <w:lvlJc w:val="right"/>
      <w:pPr>
        <w:ind w:hanging="180" w:left="2160"/>
      </w:pPr>
    </w:lvl>
    <w:lvl w:ilvl="3" w:tentative="1" w:tplc="041A000F">
      <w:start w:val="1"/>
      <w:numFmt w:val="decimal"/>
      <w:lvlText w:val="%4."/>
      <w:lvlJc w:val="left"/>
      <w:pPr>
        <w:ind w:hanging="360" w:left="2880"/>
      </w:pPr>
    </w:lvl>
    <w:lvl w:ilvl="4" w:tentative="1" w:tplc="041A0019">
      <w:start w:val="1"/>
      <w:numFmt w:val="lowerLetter"/>
      <w:lvlText w:val="%5."/>
      <w:lvlJc w:val="left"/>
      <w:pPr>
        <w:ind w:hanging="360" w:left="3600"/>
      </w:pPr>
    </w:lvl>
    <w:lvl w:ilvl="5" w:tentative="1" w:tplc="041A001B">
      <w:start w:val="1"/>
      <w:numFmt w:val="lowerRoman"/>
      <w:lvlText w:val="%6."/>
      <w:lvlJc w:val="right"/>
      <w:pPr>
        <w:ind w:hanging="180" w:left="4320"/>
      </w:pPr>
    </w:lvl>
    <w:lvl w:ilvl="6" w:tentative="1" w:tplc="041A000F">
      <w:start w:val="1"/>
      <w:numFmt w:val="decimal"/>
      <w:lvlText w:val="%7."/>
      <w:lvlJc w:val="left"/>
      <w:pPr>
        <w:ind w:hanging="360" w:left="5040"/>
      </w:pPr>
    </w:lvl>
    <w:lvl w:ilvl="7" w:tentative="1" w:tplc="041A0019">
      <w:start w:val="1"/>
      <w:numFmt w:val="lowerLetter"/>
      <w:lvlText w:val="%8."/>
      <w:lvlJc w:val="left"/>
      <w:pPr>
        <w:ind w:hanging="360" w:left="5760"/>
      </w:pPr>
    </w:lvl>
    <w:lvl w:ilvl="8" w:tentative="1" w:tplc="041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8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pos="1304" w:val="num"/>
        </w:tabs>
        <w:ind w:hanging="453" w:left="1304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1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1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1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1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1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1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1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9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220244547" w:numId="1">
    <w:abstractNumId w:val="2"/>
  </w:num>
  <w:num w16cid:durableId="1579828856" w:numId="2">
    <w:abstractNumId w:val="7"/>
  </w:num>
  <w:num w16cid:durableId="1343045997" w:numId="3">
    <w:abstractNumId w:val="5"/>
  </w:num>
  <w:num w16cid:durableId="600525811" w:numId="4">
    <w:abstractNumId w:val="8"/>
  </w:num>
  <w:num w16cid:durableId="225532237" w:numId="5">
    <w:abstractNumId w:val="1"/>
  </w:num>
  <w:num w16cid:durableId="1202864895" w:numId="6">
    <w:abstractNumId w:val="6"/>
  </w:num>
  <w:num w16cid:durableId="2027169207" w:numId="7">
    <w:abstractNumId w:val="9"/>
  </w:num>
  <w:num w16cid:durableId="2087799954" w:numId="8">
    <w:abstractNumId w:val="0"/>
  </w:num>
  <w:num w16cid:durableId="332297062" w:numId="9">
    <w:abstractNumId w:val="3"/>
  </w:num>
  <w:num w16cid:durableId="1823766685" w:numId="10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62"/>
  <w:embedSystemFonts/>
  <w:proofState w:grammar="clean"/>
  <w:stylePaneFormatFilter w:val="0004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w:themeFontLang w:bidi="ar-SA" w:eastAsia="zh-CN" w:val="hr-HR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hr-HR"/>
      </w:rPr>
    </w:rPrDefault>
    <w:pPrDefault>
      <w:pPr>
        <w:spacing w:after="160" w:line="259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styleId="Heading1" w:type="paragraph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color="00A0DE" w:space="1" w:sz="4" w:val="double"/>
      </w:pBdr>
      <w:spacing w:after="360" w:before="240"/>
      <w:jc w:val="center"/>
      <w:outlineLvl w:val="0"/>
    </w:pPr>
    <w:rPr>
      <w:rFonts w:cstheme="majorBidi" w:eastAsiaTheme="majorEastAsia"/>
      <w:b/>
      <w:smallCaps/>
      <w:color w:val="00A0DE"/>
      <w:sz w:val="32"/>
      <w:szCs w:val="32"/>
    </w:rPr>
  </w:style>
  <w:style w:styleId="Heading2" w:type="paragraph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color="C00000" w:space="1" w:sz="4" w:val="single"/>
      </w:pBdr>
      <w:spacing w:before="120"/>
      <w:outlineLvl w:val="1"/>
    </w:pPr>
    <w:rPr>
      <w:rFonts w:cstheme="majorBidi" w:eastAsiaTheme="majorEastAsia"/>
      <w:b/>
      <w:caps/>
      <w:color w:val="C00000"/>
      <w:sz w:val="24"/>
      <w:szCs w:val="26"/>
    </w:rPr>
  </w:style>
  <w:style w:styleId="Heading3" w:type="paragraph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color="44546A" w:space="1" w:sz="6" w:themeColor="text2" w:val="wave"/>
      </w:pBdr>
      <w:spacing w:before="120"/>
      <w:outlineLvl w:val="2"/>
    </w:pPr>
    <w:rPr>
      <w:rFonts w:cstheme="majorBidi" w:eastAsiaTheme="majorEastAsia"/>
      <w:b/>
      <w:color w:themeColor="text2" w:val="44546A"/>
      <w:sz w:val="24"/>
      <w:szCs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qFormat/>
    <w:rsid w:val="00047000"/>
    <w:pPr>
      <w:ind w:left="720"/>
      <w:contextualSpacing/>
    </w:pPr>
  </w:style>
  <w:style w:styleId="TableGrid" w:type="table">
    <w:name w:val="Table Grid"/>
    <w:basedOn w:val="TableNormal"/>
    <w:uiPriority w:val="39"/>
    <w:rsid w:val="001833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GridTable1Light-Accent1" w:type="table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color="B4C6E7" w:space="0" w:sz="4" w:themeColor="accent1" w:themeTint="66" w:val="single"/>
        <w:left w:color="B4C6E7" w:space="0" w:sz="4" w:themeColor="accent1" w:themeTint="66" w:val="single"/>
        <w:bottom w:color="B4C6E7" w:space="0" w:sz="4" w:themeColor="accent1" w:themeTint="66" w:val="single"/>
        <w:right w:color="B4C6E7" w:space="0" w:sz="4" w:themeColor="accent1" w:themeTint="66" w:val="single"/>
        <w:insideH w:color="B4C6E7" w:space="0" w:sz="4" w:themeColor="accent1" w:themeTint="66" w:val="single"/>
        <w:insideV w:color="B4C6E7" w:space="0" w:sz="4" w:themeColor="accent1" w:themeTint="66" w:val="single"/>
      </w:tblBorders>
    </w:tblPr>
    <w:tblStylePr w:type="firstRow">
      <w:rPr>
        <w:b/>
        <w:bCs/>
      </w:rPr>
      <w:tblPr/>
      <w:tcPr>
        <w:tcBorders>
          <w:bottom w:color="8EAADB" w:space="0" w:sz="12" w:themeColor="accent1" w:themeTint="99" w:val="single"/>
        </w:tcBorders>
      </w:tcPr>
    </w:tblStylePr>
    <w:tblStylePr w:type="lastRow">
      <w:rPr>
        <w:b/>
        <w:bCs/>
      </w:rPr>
      <w:tblPr/>
      <w:tcPr>
        <w:tcBorders>
          <w:top w:color="8EAADB" w:space="0" w:sz="2" w:themeColor="accent1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styleId="Header" w:type="paragraph">
    <w:name w:val="header"/>
    <w:basedOn w:val="Normal"/>
    <w:link w:val="HeaderChar"/>
    <w:uiPriority w:val="99"/>
    <w:unhideWhenUsed/>
    <w:rsid w:val="00E40323"/>
    <w:pPr>
      <w:tabs>
        <w:tab w:pos="4536" w:val="center"/>
        <w:tab w:pos="9072" w:val="right"/>
      </w:tabs>
      <w:spacing w:after="0"/>
    </w:pPr>
  </w:style>
  <w:style w:customStyle="1" w:styleId="HeaderChar" w:type="characte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styleId="Footer" w:type="paragraph">
    <w:name w:val="footer"/>
    <w:basedOn w:val="Normal"/>
    <w:link w:val="FooterChar"/>
    <w:uiPriority w:val="99"/>
    <w:unhideWhenUsed/>
    <w:rsid w:val="00E40323"/>
    <w:pPr>
      <w:tabs>
        <w:tab w:pos="4536" w:val="center"/>
        <w:tab w:pos="9072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styleId="NoSpacing" w:type="paragraph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customStyle="1" w:styleId="NoSpacingChar" w:type="characte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customStyle="1" w:styleId="Heading1Char" w:type="character">
    <w:name w:val="Heading 1 Char"/>
    <w:basedOn w:val="DefaultParagraphFont"/>
    <w:link w:val="Heading1"/>
    <w:uiPriority w:val="9"/>
    <w:rsid w:val="0045054A"/>
    <w:rPr>
      <w:rFonts w:ascii="Cambria" w:cstheme="majorBidi" w:eastAsiaTheme="majorEastAsia" w:hAnsi="Cambria"/>
      <w:b/>
      <w:smallCaps/>
      <w:color w:val="00A0DE"/>
      <w:sz w:val="32"/>
      <w:szCs w:val="32"/>
      <w:lang w:eastAsia="hr-HR"/>
    </w:rPr>
  </w:style>
  <w:style w:customStyle="1" w:styleId="Heading2Char" w:type="character">
    <w:name w:val="Heading 2 Char"/>
    <w:basedOn w:val="DefaultParagraphFont"/>
    <w:link w:val="Heading2"/>
    <w:uiPriority w:val="9"/>
    <w:rsid w:val="00517165"/>
    <w:rPr>
      <w:rFonts w:ascii="Cambria" w:cstheme="majorBidi" w:eastAsiaTheme="majorEastAsia" w:hAnsi="Cambria"/>
      <w:b/>
      <w:caps/>
      <w:color w:val="C00000"/>
      <w:sz w:val="24"/>
      <w:szCs w:val="26"/>
      <w:lang w:eastAsia="hr-HR"/>
    </w:rPr>
  </w:style>
  <w:style w:customStyle="1" w:styleId="Heading3Char" w:type="character">
    <w:name w:val="Heading 3 Char"/>
    <w:basedOn w:val="DefaultParagraphFont"/>
    <w:link w:val="Heading3"/>
    <w:uiPriority w:val="9"/>
    <w:rsid w:val="00B34DE3"/>
    <w:rPr>
      <w:rFonts w:ascii="Cambria" w:cstheme="majorBidi" w:eastAsiaTheme="majorEastAsia" w:hAnsi="Cambria"/>
      <w:b/>
      <w:color w:themeColor="text2" w:val="44546A"/>
      <w:sz w:val="24"/>
      <w:szCs w:val="24"/>
      <w:lang w:eastAsia="hr-HR"/>
    </w:rPr>
  </w:style>
  <w:style w:styleId="TOCHeading" w:type="paragraph">
    <w:name w:val="TOC Heading"/>
    <w:basedOn w:val="Heading1"/>
    <w:next w:val="Normal"/>
    <w:uiPriority w:val="39"/>
    <w:unhideWhenUsed/>
    <w:qFormat/>
    <w:rsid w:val="002A1A91"/>
    <w:pPr>
      <w:pBdr>
        <w:bottom w:color="auto" w:space="0" w:sz="0" w:val="none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eastAsia="en-US" w:val="en-US"/>
    </w:rPr>
  </w:style>
  <w:style w:styleId="TOC1" w:type="paragraph">
    <w:name w:val="toc 1"/>
    <w:basedOn w:val="Normal"/>
    <w:next w:val="Normal"/>
    <w:autoRedefine/>
    <w:uiPriority w:val="39"/>
    <w:unhideWhenUsed/>
    <w:rsid w:val="00723710"/>
    <w:pPr>
      <w:pBdr>
        <w:bottom w:color="2F5496" w:space="1" w:sz="6" w:themeColor="accent1" w:themeShade="BF" w:val="wave"/>
      </w:pBdr>
      <w:tabs>
        <w:tab w:pos="440" w:val="left"/>
        <w:tab w:leader="dot" w:pos="9062" w:val="right"/>
      </w:tabs>
      <w:spacing w:after="100"/>
      <w:jc w:val="center"/>
    </w:pPr>
    <w:rPr>
      <w:b/>
      <w:smallCaps/>
      <w:noProof/>
      <w:color w:themeColor="text2" w:val="44546A"/>
    </w:rPr>
  </w:style>
  <w:style w:styleId="TOC2" w:type="paragraph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styleId="TOC3" w:type="paragraph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styleId="Hyperlink" w:type="character">
    <w:name w:val="Hyperlink"/>
    <w:basedOn w:val="DefaultParagraphFont"/>
    <w:uiPriority w:val="99"/>
    <w:unhideWhenUsed/>
    <w:rsid w:val="002A1A91"/>
    <w:rPr>
      <w:color w:themeColor="hyperlink" w:val="0563C1"/>
      <w:u w:val="singl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2A1A91"/>
    <w:rPr>
      <w:rFonts w:asciiTheme="majorHAnsi" w:cstheme="majorBidi" w:eastAsiaTheme="majorEastAsia" w:hAnsiTheme="majorHAnsi"/>
      <w:i/>
      <w:iCs/>
      <w:color w:themeColor="accent1" w:themeShade="BF" w:val="2F5496"/>
      <w:lang w:eastAsia="hr-HR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2A1A91"/>
    <w:rPr>
      <w:rFonts w:asciiTheme="majorHAnsi" w:cstheme="majorBidi" w:eastAsiaTheme="majorEastAsia" w:hAnsiTheme="majorHAnsi"/>
      <w:color w:themeColor="accent1" w:themeShade="BF" w:val="2F5496"/>
      <w:lang w:eastAsia="hr-HR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2A1A91"/>
    <w:rPr>
      <w:rFonts w:asciiTheme="majorHAnsi" w:cstheme="majorBidi" w:eastAsiaTheme="majorEastAsia" w:hAnsiTheme="majorHAnsi"/>
      <w:color w:themeColor="accent1" w:themeShade="7F" w:val="1F3763"/>
      <w:lang w:eastAsia="hr-HR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2A1A91"/>
    <w:rPr>
      <w:rFonts w:asciiTheme="majorHAnsi" w:cstheme="majorBidi" w:eastAsiaTheme="majorEastAsia" w:hAnsiTheme="majorHAnsi"/>
      <w:i/>
      <w:iCs/>
      <w:color w:themeColor="accent1" w:themeShade="7F" w:val="1F3763"/>
      <w:lang w:eastAsia="hr-HR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2A1A91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hr-HR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2A1A91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hr-HR"/>
    </w:rPr>
  </w:style>
  <w:style w:customStyle="1" w:styleId="Style1" w:type="numbering">
    <w:name w:val="Style1"/>
    <w:uiPriority w:val="99"/>
    <w:rsid w:val="002A1A91"/>
    <w:pPr>
      <w:numPr>
        <w:numId w:val="1"/>
      </w:numPr>
    </w:pPr>
  </w:style>
  <w:style w:styleId="GridTable7Colorful-Accent5" w:type="table">
    <w:name w:val="Grid Table 7 Colorful Accent 5"/>
    <w:basedOn w:val="TableNormal"/>
    <w:uiPriority w:val="52"/>
    <w:rsid w:val="00BE7490"/>
    <w:pPr>
      <w:spacing w:after="0" w:line="240" w:lineRule="auto"/>
    </w:pPr>
    <w:rPr>
      <w:color w:themeColor="accent5" w:themeShade="BF" w:val="2E74B5"/>
    </w:rPr>
    <w:tblPr>
      <w:tblStyleRowBandSize w:val="1"/>
      <w:tblStyleColBandSize w:val="1"/>
      <w:tblBorders>
        <w:top w:color="9CC2E5" w:space="0" w:sz="4" w:themeColor="accent5" w:themeTint="99" w:val="single"/>
        <w:left w:color="9CC2E5" w:space="0" w:sz="4" w:themeColor="accent5" w:themeTint="99" w:val="single"/>
        <w:bottom w:color="9CC2E5" w:space="0" w:sz="4" w:themeColor="accent5" w:themeTint="99" w:val="single"/>
        <w:right w:color="9CC2E5" w:space="0" w:sz="4" w:themeColor="accent5" w:themeTint="99" w:val="single"/>
        <w:insideH w:color="9CC2E5" w:space="0" w:sz="4" w:themeColor="accent5" w:themeTint="99" w:val="single"/>
        <w:insideV w:color="9CC2E5" w:space="0" w:sz="4" w:themeColor="accent5" w:themeTint="99" w:val="singl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5" w:themeFillTint="33" w:val="clear"/>
      </w:tcPr>
    </w:tblStylePr>
    <w:tblStylePr w:type="band1Horz">
      <w:tblPr/>
      <w:tcPr>
        <w:shd w:color="auto" w:fill="DEEAF6" w:themeFill="accent5" w:themeFillTint="33" w:val="clear"/>
      </w:tcPr>
    </w:tblStylePr>
    <w:tblStylePr w:type="neCell">
      <w:tblPr/>
      <w:tcPr>
        <w:tcBorders>
          <w:bottom w:color="9CC2E5" w:space="0" w:sz="4" w:themeColor="accent5" w:themeTint="99" w:val="single"/>
        </w:tcBorders>
      </w:tcPr>
    </w:tblStylePr>
    <w:tblStylePr w:type="nwCell">
      <w:tblPr/>
      <w:tcPr>
        <w:tcBorders>
          <w:bottom w:color="9CC2E5" w:space="0" w:sz="4" w:themeColor="accent5" w:themeTint="99" w:val="single"/>
        </w:tcBorders>
      </w:tcPr>
    </w:tblStylePr>
    <w:tblStylePr w:type="seCell">
      <w:tblPr/>
      <w:tcPr>
        <w:tcBorders>
          <w:top w:color="9CC2E5" w:space="0" w:sz="4" w:themeColor="accent5" w:themeTint="99" w:val="single"/>
        </w:tcBorders>
      </w:tcPr>
    </w:tblStylePr>
    <w:tblStylePr w:type="swCell">
      <w:tblPr/>
      <w:tcPr>
        <w:tcBorders>
          <w:top w:color="9CC2E5" w:space="0" w:sz="4" w:themeColor="accent5" w:themeTint="99" w:val="single"/>
        </w:tcBorders>
      </w:tcPr>
    </w:tblStylePr>
  </w:style>
  <w:style w:styleId="GridTable5Dark-Accent1" w:type="table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4472C4" w:themeFill="accent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4472C4" w:themeFill="accent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4472C4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66" w:val="clear"/>
      </w:tcPr>
    </w:tblStylePr>
    <w:tblStylePr w:type="band1Horz">
      <w:tblPr/>
      <w:tcPr>
        <w:shd w:color="auto" w:fill="B4C6E7" w:themeFill="accent1" w:themeFillTint="66" w:val="clear"/>
      </w:tcPr>
    </w:tblStylePr>
  </w:style>
  <w:style w:styleId="BodyText" w:type="paragraph">
    <w:name w:val="Body Text"/>
    <w:basedOn w:val="Normal"/>
    <w:link w:val="BodyTextChar"/>
    <w:rsid w:val="00DD1F25"/>
    <w:pPr>
      <w:spacing w:after="0"/>
      <w:ind w:right="-1050"/>
    </w:pPr>
    <w:rPr>
      <w:rFonts w:ascii="Arial" w:cs="Times New Roman" w:eastAsia="Times New Roman" w:hAnsi="Arial"/>
      <w:sz w:val="24"/>
      <w:szCs w:val="20"/>
    </w:rPr>
  </w:style>
  <w:style w:customStyle="1" w:styleId="BodyTextChar" w:type="character">
    <w:name w:val="Body Text Char"/>
    <w:basedOn w:val="DefaultParagraphFont"/>
    <w:link w:val="BodyText"/>
    <w:rsid w:val="00DD1F25"/>
    <w:rPr>
      <w:rFonts w:ascii="Arial" w:cs="Times New Roman" w:eastAsia="Times New Roman" w:hAnsi="Arial"/>
      <w:sz w:val="24"/>
      <w:szCs w:val="20"/>
      <w:lang w:eastAsia="hr-HR"/>
    </w:rPr>
  </w:style>
  <w:style w:customStyle="1" w:styleId="Default" w:type="paragraph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cs="Life L2" w:eastAsia="Times New Roman" w:hAnsi="Life L2"/>
      <w:color w:val="000000"/>
      <w:sz w:val="24"/>
      <w:szCs w:val="24"/>
      <w:lang w:eastAsia="hr-HR"/>
    </w:rPr>
  </w:style>
  <w:style w:customStyle="1" w:styleId="Tekst1" w:type="paragraph">
    <w:name w:val="Tekst 1"/>
    <w:basedOn w:val="Normal"/>
    <w:rsid w:val="005A0CAB"/>
    <w:pPr>
      <w:spacing w:after="240" w:before="240" w:line="360" w:lineRule="auto"/>
      <w:ind w:left="794"/>
    </w:pPr>
    <w:rPr>
      <w:rFonts w:ascii="Arial" w:cs="Times New Roman" w:eastAsia="Times New Roman" w:hAnsi="Arial"/>
      <w:szCs w:val="24"/>
    </w:rPr>
  </w:style>
  <w:style w:customStyle="1" w:styleId="Tekst" w:type="paragraph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cs="Times New Roman" w:eastAsia="Times New Roman" w:hAnsi="Arial"/>
      <w:sz w:val="20"/>
      <w:szCs w:val="20"/>
    </w:rPr>
  </w:style>
  <w:style w:customStyle="1" w:styleId="TekstChar" w:type="character">
    <w:name w:val="Tekst Char"/>
    <w:link w:val="Tekst"/>
    <w:rsid w:val="005A0CAB"/>
    <w:rPr>
      <w:rFonts w:ascii="Arial" w:cs="Times New Roman" w:eastAsia="Times New Roman" w:hAnsi="Arial"/>
      <w:sz w:val="20"/>
      <w:szCs w:val="20"/>
      <w:lang w:eastAsia="hr-HR"/>
    </w:rPr>
  </w:style>
  <w:style w:customStyle="1" w:styleId="Clanak" w:type="paragraph">
    <w:name w:val="Clanak"/>
    <w:basedOn w:val="BodyText"/>
    <w:rsid w:val="005A0CAB"/>
    <w:pPr>
      <w:spacing w:after="120" w:before="240" w:line="276" w:lineRule="auto"/>
      <w:ind w:right="0"/>
      <w:jc w:val="center"/>
    </w:pPr>
    <w:rPr>
      <w:b/>
      <w:sz w:val="22"/>
      <w:szCs w:val="22"/>
      <w:lang w:eastAsia="en-US"/>
    </w:rPr>
  </w:style>
  <w:style w:customStyle="1" w:styleId="Podrucje" w:type="paragraph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styleId="ListNumber" w:type="paragraph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styleId="PlaceholderText" w:type="character">
    <w:name w:val="Placeholder Text"/>
    <w:basedOn w:val="DefaultParagraphFont"/>
    <w:uiPriority w:val="99"/>
    <w:semiHidden/>
    <w:rsid w:val="00AA76E1"/>
    <w:rPr>
      <w:color w:val="808080"/>
    </w:rPr>
  </w:style>
  <w:style w:styleId="CommentReference" w:type="character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47654E"/>
    <w:rPr>
      <w:rFonts w:ascii="Segoe UI" w:cs="Segoe UI" w:eastAsiaTheme="minorEastAsia" w:hAnsi="Segoe UI"/>
      <w:sz w:val="18"/>
      <w:szCs w:val="18"/>
      <w:lang w:eastAsia="hr-H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8" Target="header1.xml" Type="http://schemas.openxmlformats.org/officeDocument/2006/relationships/header" /><Relationship Id="rId10" Target="footer2.xml" Type="http://schemas.openxmlformats.org/officeDocument/2006/relationships/footer" /><Relationship Id="rId9" Target="footer1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2026-04-11T16:24:45Z</dcterms:created>
  <dcterms:modified xsi:type="dcterms:W3CDTF">2026-04-11T16:24:45Z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