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3AF6" w14:textId="77777777" w:rsidR="00A215F3" w:rsidRPr="00FE2797" w:rsidRDefault="00000000" w:rsidP="00FE2797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obr-pr-04-01-upitnik-o-riziku-klijenta"/>
      <w:r w:rsidRPr="00FE2797">
        <w:rPr>
          <w:rFonts w:ascii="Candara" w:hAnsi="Candara"/>
        </w:rPr>
        <w:t>OBR-PR-04-01: Upitnik o riziku klijenta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A215F3" w:rsidRPr="00FE2797" w14:paraId="0EA3963F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F16E096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7BB29FA6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Vrijednost</w:t>
            </w:r>
          </w:p>
        </w:tc>
      </w:tr>
      <w:tr w:rsidR="00A215F3" w:rsidRPr="00FE2797" w14:paraId="0B7F8941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4C7BAC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6D55B14B" w14:textId="77777777" w:rsidR="00A215F3" w:rsidRPr="00FE2797" w:rsidRDefault="00000000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OBR-PR-04-01-v1.0</w:t>
            </w:r>
          </w:p>
        </w:tc>
      </w:tr>
      <w:tr w:rsidR="00A215F3" w:rsidRPr="00FE2797" w14:paraId="6E1F2E7D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6C13198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2C9869CA" w14:textId="77777777" w:rsidR="00A215F3" w:rsidRPr="00FE2797" w:rsidRDefault="00000000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Obrazac</w:t>
            </w:r>
          </w:p>
        </w:tc>
      </w:tr>
      <w:tr w:rsidR="00A215F3" w:rsidRPr="00FE2797" w14:paraId="149E3DEA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D4775E2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79823E55" w14:textId="77777777" w:rsidR="00A215F3" w:rsidRPr="00FE2797" w:rsidRDefault="00000000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PR-04 – Procjena rizika i priprema osigurateljnih rješenja</w:t>
            </w:r>
          </w:p>
        </w:tc>
      </w:tr>
      <w:tr w:rsidR="00A215F3" w:rsidRPr="00FE2797" w14:paraId="446A5505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5B9F73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1A4E2EE9" w14:textId="77777777" w:rsidR="00A215F3" w:rsidRPr="00FE2797" w:rsidRDefault="00000000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1.0</w:t>
            </w:r>
          </w:p>
        </w:tc>
      </w:tr>
      <w:tr w:rsidR="00A215F3" w:rsidRPr="00FE2797" w14:paraId="2F19DAA4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E4C7962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16D972E8" w14:textId="77777777" w:rsidR="00A215F3" w:rsidRPr="00FE2797" w:rsidRDefault="00000000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11. travnja 2026.</w:t>
            </w:r>
          </w:p>
        </w:tc>
      </w:tr>
      <w:tr w:rsidR="00A215F3" w:rsidRPr="00FE2797" w14:paraId="6BA27120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DE58D70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3A6FBC95" w14:textId="77777777" w:rsidR="00A215F3" w:rsidRPr="00FE2797" w:rsidRDefault="00000000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Uprava ANO d.o.o.</w:t>
            </w:r>
          </w:p>
        </w:tc>
      </w:tr>
    </w:tbl>
    <w:p w14:paraId="51DAC006" w14:textId="6FF39DFB" w:rsidR="00A215F3" w:rsidRPr="00FE2797" w:rsidRDefault="00A215F3">
      <w:pPr>
        <w:rPr>
          <w:rFonts w:ascii="Candara" w:hAnsi="Candara"/>
        </w:rPr>
      </w:pPr>
    </w:p>
    <w:p w14:paraId="5005997E" w14:textId="77777777" w:rsidR="00A215F3" w:rsidRPr="00FE2797" w:rsidRDefault="00000000" w:rsidP="00FE2797">
      <w:pPr>
        <w:pStyle w:val="Heading2"/>
        <w:numPr>
          <w:ilvl w:val="0"/>
          <w:numId w:val="0"/>
        </w:numPr>
      </w:pPr>
      <w:bookmarkStart w:id="1" w:name="uputa-za-popunjavanje"/>
      <w:r w:rsidRPr="00FE2797">
        <w:t>UPUTA ZA POPUNJAVANJE</w:t>
      </w:r>
    </w:p>
    <w:p w14:paraId="01DE6586" w14:textId="77777777" w:rsidR="00A215F3" w:rsidRPr="00FE2797" w:rsidRDefault="00000000">
      <w:pPr>
        <w:rPr>
          <w:rFonts w:ascii="Candara" w:hAnsi="Candara"/>
        </w:rPr>
      </w:pPr>
      <w:r w:rsidRPr="00FE2797">
        <w:rPr>
          <w:rFonts w:ascii="Candara" w:hAnsi="Candara"/>
        </w:rPr>
        <w:t>Ovaj upitnik popunjava klijent u suradnji s dodijeljenim brokerom ANO-a. Podaci su potrebni radi analize rizika i pripreme optimalnog osiguratelnog programa. Svi podaci tretiraju se kao povjerljivi i koriste se isključivo u svrhu brokerskih usluga.</w:t>
      </w:r>
    </w:p>
    <w:p w14:paraId="4BE964A0" w14:textId="77777777" w:rsidR="00A215F3" w:rsidRPr="00FE2797" w:rsidRDefault="00000000" w:rsidP="00FE2797">
      <w:pPr>
        <w:pStyle w:val="BodyText"/>
        <w:ind w:right="0"/>
        <w:rPr>
          <w:rFonts w:ascii="Candara" w:hAnsi="Candara"/>
          <w:sz w:val="22"/>
          <w:szCs w:val="18"/>
        </w:rPr>
      </w:pPr>
      <w:r w:rsidRPr="00FE2797">
        <w:rPr>
          <w:rFonts w:ascii="Candara" w:hAnsi="Candara"/>
          <w:sz w:val="22"/>
          <w:szCs w:val="18"/>
        </w:rPr>
        <w:t xml:space="preserve">Polja označena s </w:t>
      </w:r>
      <w:r w:rsidRPr="00FE2797">
        <w:rPr>
          <w:rFonts w:ascii="Candara" w:hAnsi="Candara"/>
          <w:b/>
          <w:bCs/>
          <w:sz w:val="22"/>
          <w:szCs w:val="18"/>
        </w:rPr>
        <w:t>(*)</w:t>
      </w:r>
      <w:r w:rsidRPr="00FE2797">
        <w:rPr>
          <w:rFonts w:ascii="Candara" w:hAnsi="Candara"/>
          <w:sz w:val="22"/>
          <w:szCs w:val="18"/>
        </w:rPr>
        <w:t xml:space="preserve"> su obavezna.</w:t>
      </w:r>
    </w:p>
    <w:p w14:paraId="53C628A4" w14:textId="70009440" w:rsidR="00A215F3" w:rsidRPr="00FE2797" w:rsidRDefault="00A215F3">
      <w:pPr>
        <w:rPr>
          <w:rFonts w:ascii="Candara" w:hAnsi="Candara"/>
        </w:rPr>
      </w:pPr>
    </w:p>
    <w:p w14:paraId="7411F63D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2" w:name="opći-podaci-o-klijentu"/>
      <w:bookmarkEnd w:id="1"/>
      <w:r w:rsidRPr="00FE2797">
        <w:t>1. OPĆI PODACI O KLIJENTU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005"/>
        <w:gridCol w:w="1187"/>
      </w:tblGrid>
      <w:tr w:rsidR="00A215F3" w:rsidRPr="00FE2797" w14:paraId="11BDF0DF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207A1E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28F9C9C2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Vrijednost</w:t>
            </w:r>
          </w:p>
        </w:tc>
      </w:tr>
      <w:tr w:rsidR="00A215F3" w:rsidRPr="00FE2797" w14:paraId="316358F7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CE42E0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Tvrtka / Ime i prezime *</w:t>
            </w:r>
          </w:p>
        </w:tc>
        <w:tc>
          <w:tcPr>
            <w:tcW w:w="0" w:type="auto"/>
          </w:tcPr>
          <w:p w14:paraId="09E8572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409E83B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58DC9D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OIB *</w:t>
            </w:r>
          </w:p>
        </w:tc>
        <w:tc>
          <w:tcPr>
            <w:tcW w:w="0" w:type="auto"/>
          </w:tcPr>
          <w:p w14:paraId="2B14478E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2C397660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1EEA83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Adresa sjedišta / prebivališta *</w:t>
            </w:r>
          </w:p>
        </w:tc>
        <w:tc>
          <w:tcPr>
            <w:tcW w:w="0" w:type="auto"/>
          </w:tcPr>
          <w:p w14:paraId="7C177D93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24FAA63E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7F1206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Djelatnost (NKD šifra i opis) *</w:t>
            </w:r>
          </w:p>
        </w:tc>
        <w:tc>
          <w:tcPr>
            <w:tcW w:w="0" w:type="auto"/>
          </w:tcPr>
          <w:p w14:paraId="2CE33F28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32B1C347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C861A7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Kontakt osoba za osiguranje *</w:t>
            </w:r>
          </w:p>
        </w:tc>
        <w:tc>
          <w:tcPr>
            <w:tcW w:w="0" w:type="auto"/>
          </w:tcPr>
          <w:p w14:paraId="2857284C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780BD8F7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9D4233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Telefon *</w:t>
            </w:r>
          </w:p>
        </w:tc>
        <w:tc>
          <w:tcPr>
            <w:tcW w:w="0" w:type="auto"/>
          </w:tcPr>
          <w:p w14:paraId="74017C56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54B45D5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8F60F5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E-mail *</w:t>
            </w:r>
          </w:p>
        </w:tc>
        <w:tc>
          <w:tcPr>
            <w:tcW w:w="0" w:type="auto"/>
          </w:tcPr>
          <w:p w14:paraId="0C87802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6BC64698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C2E008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Web stranica</w:t>
            </w:r>
          </w:p>
        </w:tc>
        <w:tc>
          <w:tcPr>
            <w:tcW w:w="0" w:type="auto"/>
          </w:tcPr>
          <w:p w14:paraId="16198314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08F1521" w14:textId="61445502" w:rsidR="00A215F3" w:rsidRPr="00FE2797" w:rsidRDefault="00A215F3">
      <w:pPr>
        <w:rPr>
          <w:rFonts w:ascii="Candara" w:hAnsi="Candara"/>
        </w:rPr>
      </w:pPr>
    </w:p>
    <w:p w14:paraId="7C2A59A4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3" w:name="financijski-podaci"/>
      <w:bookmarkEnd w:id="2"/>
      <w:r w:rsidRPr="00FE2797">
        <w:t>2. FINANCIJSKI PODACI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459"/>
        <w:gridCol w:w="1187"/>
      </w:tblGrid>
      <w:tr w:rsidR="00A215F3" w:rsidRPr="00FE2797" w14:paraId="3E72C7E8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BDF3CB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353E9F51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Vrijednost</w:t>
            </w:r>
          </w:p>
        </w:tc>
      </w:tr>
      <w:tr w:rsidR="00A215F3" w:rsidRPr="00FE2797" w14:paraId="2D14119D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6BF52F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Ukupan godišnji prihod (EUR) *</w:t>
            </w:r>
          </w:p>
        </w:tc>
        <w:tc>
          <w:tcPr>
            <w:tcW w:w="0" w:type="auto"/>
          </w:tcPr>
          <w:p w14:paraId="4CA9E71D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1ED79EA5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5F471D9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Ukupna vrijednost imovine (EUR) *</w:t>
            </w:r>
          </w:p>
        </w:tc>
        <w:tc>
          <w:tcPr>
            <w:tcW w:w="0" w:type="auto"/>
          </w:tcPr>
          <w:p w14:paraId="3DC08C6A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31CE0E5F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EDD524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Broj zaposlenih *</w:t>
            </w:r>
          </w:p>
        </w:tc>
        <w:tc>
          <w:tcPr>
            <w:tcW w:w="0" w:type="auto"/>
          </w:tcPr>
          <w:p w14:paraId="4F169E91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FB545E9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0A295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Godišnji fond plaća (EUR)</w:t>
            </w:r>
          </w:p>
        </w:tc>
        <w:tc>
          <w:tcPr>
            <w:tcW w:w="0" w:type="auto"/>
          </w:tcPr>
          <w:p w14:paraId="25E14F8B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238AA825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47E13F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Broj poslovnih lokacija *</w:t>
            </w:r>
          </w:p>
        </w:tc>
        <w:tc>
          <w:tcPr>
            <w:tcW w:w="0" w:type="auto"/>
          </w:tcPr>
          <w:p w14:paraId="78991369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67356B34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6156CE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Popis lokacija (adrese) *</w:t>
            </w:r>
          </w:p>
        </w:tc>
        <w:tc>
          <w:tcPr>
            <w:tcW w:w="0" w:type="auto"/>
          </w:tcPr>
          <w:p w14:paraId="464BDBA0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21A96C9" w14:textId="6C289015" w:rsidR="00FE2797" w:rsidRDefault="00FE2797">
      <w:pPr>
        <w:spacing w:after="160" w:line="259" w:lineRule="auto"/>
        <w:jc w:val="left"/>
        <w:rPr>
          <w:rFonts w:eastAsiaTheme="majorEastAsia" w:cstheme="majorBidi"/>
          <w:b/>
          <w:color w:val="44546A" w:themeColor="text2"/>
          <w:sz w:val="24"/>
          <w:szCs w:val="24"/>
        </w:rPr>
      </w:pPr>
      <w:bookmarkStart w:id="4" w:name="imovina-nekretnine-i-sadržaj"/>
      <w:bookmarkEnd w:id="3"/>
    </w:p>
    <w:p w14:paraId="237D8075" w14:textId="77777777" w:rsidR="006D2621" w:rsidRDefault="006D2621">
      <w:pPr>
        <w:spacing w:after="160" w:line="259" w:lineRule="auto"/>
        <w:jc w:val="left"/>
        <w:rPr>
          <w:rFonts w:eastAsiaTheme="majorEastAsia" w:cstheme="majorBidi"/>
          <w:b/>
          <w:color w:val="44546A" w:themeColor="text2"/>
          <w:sz w:val="24"/>
          <w:szCs w:val="24"/>
        </w:rPr>
      </w:pPr>
      <w:r>
        <w:br w:type="page"/>
      </w:r>
    </w:p>
    <w:p w14:paraId="545A1BC8" w14:textId="6B2C747B" w:rsidR="00A215F3" w:rsidRPr="00FE2797" w:rsidRDefault="00000000" w:rsidP="00FE2797">
      <w:pPr>
        <w:pStyle w:val="Heading3"/>
        <w:numPr>
          <w:ilvl w:val="0"/>
          <w:numId w:val="0"/>
        </w:numPr>
      </w:pPr>
      <w:r w:rsidRPr="00FE2797">
        <w:lastRenderedPageBreak/>
        <w:t>3. IMOVINA — NEKRETNINE I SADRŽAJ</w:t>
      </w:r>
    </w:p>
    <w:p w14:paraId="1FE898BB" w14:textId="77777777" w:rsidR="00A215F3" w:rsidRPr="00FE2797" w:rsidRDefault="00000000">
      <w:pPr>
        <w:rPr>
          <w:rFonts w:ascii="Candara" w:hAnsi="Candara"/>
        </w:rPr>
      </w:pPr>
      <w:r w:rsidRPr="00FE2797">
        <w:rPr>
          <w:rFonts w:ascii="Candara" w:hAnsi="Candara"/>
          <w:i/>
          <w:iCs/>
        </w:rPr>
        <w:t>(Popuniti za svaku lokaciju posebno ili priložiti popis)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39"/>
        <w:gridCol w:w="755"/>
        <w:gridCol w:w="701"/>
        <w:gridCol w:w="863"/>
        <w:gridCol w:w="1402"/>
        <w:gridCol w:w="1672"/>
        <w:gridCol w:w="1565"/>
        <w:gridCol w:w="1565"/>
      </w:tblGrid>
      <w:tr w:rsidR="00A215F3" w:rsidRPr="00FE2797" w14:paraId="55D92410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393805F1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Lokacija</w:t>
            </w:r>
          </w:p>
        </w:tc>
        <w:tc>
          <w:tcPr>
            <w:tcW w:w="660" w:type="dxa"/>
          </w:tcPr>
          <w:p w14:paraId="3548B762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Vrsta objekta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</w:tcPr>
          <w:p w14:paraId="41AFF35B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God. gradnje</w:t>
            </w:r>
          </w:p>
        </w:tc>
        <w:tc>
          <w:tcPr>
            <w:tcW w:w="754" w:type="dxa"/>
          </w:tcPr>
          <w:p w14:paraId="1617D236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Površina (m²)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14:paraId="2AE82787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Vrijednost objekta (EUR)</w:t>
            </w:r>
          </w:p>
        </w:tc>
        <w:tc>
          <w:tcPr>
            <w:tcW w:w="1461" w:type="dxa"/>
          </w:tcPr>
          <w:p w14:paraId="27412B94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Vrijednost opreme/zaliha (EUR)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7" w:type="dxa"/>
          </w:tcPr>
          <w:p w14:paraId="0A3195D3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Sustav gašenja požara (D/N)</w:t>
            </w:r>
          </w:p>
        </w:tc>
        <w:tc>
          <w:tcPr>
            <w:tcW w:w="1367" w:type="dxa"/>
          </w:tcPr>
          <w:p w14:paraId="2B4D76F3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Sustav dojave provale (D/N)</w:t>
            </w:r>
          </w:p>
        </w:tc>
      </w:tr>
      <w:tr w:rsidR="00A215F3" w:rsidRPr="00FE2797" w14:paraId="5A06BFEF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06496736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60" w:type="dxa"/>
          </w:tcPr>
          <w:p w14:paraId="49093D96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</w:tcPr>
          <w:p w14:paraId="028C7B76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54" w:type="dxa"/>
          </w:tcPr>
          <w:p w14:paraId="62691AC8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14:paraId="75355E58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B71583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7" w:type="dxa"/>
          </w:tcPr>
          <w:p w14:paraId="6651442A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7" w:type="dxa"/>
          </w:tcPr>
          <w:p w14:paraId="56B0DC78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215F3" w:rsidRPr="00FE2797" w14:paraId="731DB670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4FFE1395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60" w:type="dxa"/>
          </w:tcPr>
          <w:p w14:paraId="61421A36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</w:tcPr>
          <w:p w14:paraId="3FF476B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54" w:type="dxa"/>
          </w:tcPr>
          <w:p w14:paraId="207B0FF1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14:paraId="2C1F52A4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8B218FF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7" w:type="dxa"/>
          </w:tcPr>
          <w:p w14:paraId="7375CA0C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7" w:type="dxa"/>
          </w:tcPr>
          <w:p w14:paraId="08D51F48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215F3" w:rsidRPr="00FE2797" w14:paraId="5A57CA7D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55ECEA1C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60" w:type="dxa"/>
          </w:tcPr>
          <w:p w14:paraId="7CDE24F0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</w:tcPr>
          <w:p w14:paraId="713BF32F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54" w:type="dxa"/>
          </w:tcPr>
          <w:p w14:paraId="23ED56C6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14:paraId="6326B7C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5F6542EE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7" w:type="dxa"/>
          </w:tcPr>
          <w:p w14:paraId="4AC5850B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68DD60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232C717" w14:textId="77777777" w:rsidR="00FE2797" w:rsidRDefault="00FE2797" w:rsidP="00FE2797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p w14:paraId="75000D5A" w14:textId="5296E743" w:rsidR="00A215F3" w:rsidRPr="00FE2797" w:rsidRDefault="00000000" w:rsidP="00FE2797">
      <w:pPr>
        <w:pStyle w:val="BodyText"/>
        <w:ind w:right="0"/>
        <w:rPr>
          <w:rFonts w:ascii="Candara" w:hAnsi="Candara"/>
          <w:sz w:val="22"/>
          <w:szCs w:val="18"/>
        </w:rPr>
      </w:pPr>
      <w:r w:rsidRPr="00FE2797">
        <w:rPr>
          <w:rFonts w:ascii="Candara" w:hAnsi="Candara"/>
          <w:b/>
          <w:bCs/>
          <w:sz w:val="22"/>
          <w:szCs w:val="18"/>
        </w:rPr>
        <w:t>Napomene uz imovinu:</w:t>
      </w:r>
      <w:r w:rsidRPr="00FE2797">
        <w:rPr>
          <w:rFonts w:ascii="Candara" w:hAnsi="Candara"/>
          <w:sz w:val="22"/>
          <w:szCs w:val="18"/>
        </w:rPr>
        <w:t xml:space="preserve"> _______________________________________________________</w:t>
      </w:r>
    </w:p>
    <w:p w14:paraId="1E0D1DC6" w14:textId="1FEC4C3A" w:rsidR="00A215F3" w:rsidRPr="00FE2797" w:rsidRDefault="00A215F3">
      <w:pPr>
        <w:rPr>
          <w:rFonts w:ascii="Candara" w:hAnsi="Candara"/>
        </w:rPr>
      </w:pPr>
    </w:p>
    <w:p w14:paraId="783BF3F1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5" w:name="vozila-i-prijevozna-sredstva"/>
      <w:bookmarkEnd w:id="4"/>
      <w:r w:rsidRPr="00FE2797">
        <w:t>4. VOZILA I PRIJEVOZNA SREDSTVA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838"/>
        <w:gridCol w:w="1276"/>
        <w:gridCol w:w="1843"/>
        <w:gridCol w:w="2268"/>
        <w:gridCol w:w="1837"/>
      </w:tblGrid>
      <w:tr w:rsidR="00A215F3" w:rsidRPr="00FE2797" w14:paraId="3F04D230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F0A5B8A" w14:textId="77777777" w:rsidR="00A215F3" w:rsidRPr="00FE2797" w:rsidRDefault="00000000" w:rsidP="00FE2797">
            <w:pPr>
              <w:spacing w:after="0"/>
              <w:jc w:val="left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Vrsta vozila</w:t>
            </w:r>
          </w:p>
        </w:tc>
        <w:tc>
          <w:tcPr>
            <w:tcW w:w="1276" w:type="dxa"/>
            <w:vAlign w:val="center"/>
          </w:tcPr>
          <w:p w14:paraId="3B6681B1" w14:textId="77777777" w:rsidR="00A215F3" w:rsidRPr="00FE2797" w:rsidRDefault="00000000" w:rsidP="00FE2797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Broj vozila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68A44DB" w14:textId="77777777" w:rsidR="00A215F3" w:rsidRPr="00FE2797" w:rsidRDefault="00000000" w:rsidP="00FE2797">
            <w:pPr>
              <w:spacing w:after="0"/>
              <w:jc w:val="left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Tržišna vrijednost ukupno (EUR)</w:t>
            </w:r>
          </w:p>
        </w:tc>
        <w:tc>
          <w:tcPr>
            <w:tcW w:w="2268" w:type="dxa"/>
            <w:vAlign w:val="center"/>
          </w:tcPr>
          <w:p w14:paraId="6180726D" w14:textId="0E26604C" w:rsidR="00A215F3" w:rsidRPr="00FE2797" w:rsidRDefault="00000000" w:rsidP="00FE2797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Namjena (osobna/</w:t>
            </w:r>
            <w:r w:rsidR="00FE27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FE2797">
              <w:rPr>
                <w:rFonts w:ascii="Candara" w:hAnsi="Candara"/>
                <w:sz w:val="20"/>
                <w:szCs w:val="20"/>
              </w:rPr>
              <w:t>dostavna/teretna)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  <w:vAlign w:val="center"/>
          </w:tcPr>
          <w:p w14:paraId="17B2BCE1" w14:textId="77777777" w:rsidR="00A215F3" w:rsidRPr="00FE2797" w:rsidRDefault="00000000" w:rsidP="00FE2797">
            <w:pPr>
              <w:spacing w:after="0"/>
              <w:jc w:val="left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Godišnja kilometraža (procjena)</w:t>
            </w:r>
          </w:p>
        </w:tc>
      </w:tr>
      <w:tr w:rsidR="00A215F3" w:rsidRPr="00FE2797" w14:paraId="40E9B42B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</w:tcPr>
          <w:p w14:paraId="37005C19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Osobna vozila</w:t>
            </w:r>
          </w:p>
        </w:tc>
        <w:tc>
          <w:tcPr>
            <w:tcW w:w="1276" w:type="dxa"/>
          </w:tcPr>
          <w:p w14:paraId="23D9EAB3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A0D90AB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573E070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79760D50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215F3" w:rsidRPr="00FE2797" w14:paraId="1A325378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</w:tcPr>
          <w:p w14:paraId="60B1A412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Dostavna / kombiji</w:t>
            </w:r>
          </w:p>
        </w:tc>
        <w:tc>
          <w:tcPr>
            <w:tcW w:w="1276" w:type="dxa"/>
          </w:tcPr>
          <w:p w14:paraId="19F02733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D1C8F25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BAC3A16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593D27F2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215F3" w:rsidRPr="00FE2797" w14:paraId="6EB5492E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</w:tcPr>
          <w:p w14:paraId="17B8F34B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Teretna vozila</w:t>
            </w:r>
          </w:p>
        </w:tc>
        <w:tc>
          <w:tcPr>
            <w:tcW w:w="1276" w:type="dxa"/>
          </w:tcPr>
          <w:p w14:paraId="2D5A4FC6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CB33C5D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31FA909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70A46B4C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215F3" w:rsidRPr="00FE2797" w14:paraId="26A02C6E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</w:tcPr>
          <w:p w14:paraId="3BC5632C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Specijalna vozila</w:t>
            </w:r>
          </w:p>
        </w:tc>
        <w:tc>
          <w:tcPr>
            <w:tcW w:w="1276" w:type="dxa"/>
          </w:tcPr>
          <w:p w14:paraId="1E7A5365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5DE1D4F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51754D0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2B1D85BB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215F3" w:rsidRPr="00FE2797" w14:paraId="5546027E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</w:tcPr>
          <w:p w14:paraId="69D5351A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Ostalo</w:t>
            </w:r>
          </w:p>
        </w:tc>
        <w:tc>
          <w:tcPr>
            <w:tcW w:w="1276" w:type="dxa"/>
          </w:tcPr>
          <w:p w14:paraId="336308AD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950B3B4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80AFEF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48E35BCF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79DA83FF" w14:textId="47351D52" w:rsidR="00A215F3" w:rsidRPr="00FE2797" w:rsidRDefault="00A215F3">
      <w:pPr>
        <w:rPr>
          <w:rFonts w:ascii="Candara" w:hAnsi="Candara"/>
        </w:rPr>
      </w:pPr>
    </w:p>
    <w:p w14:paraId="4F06C0E0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6" w:name="strojevi-i-oprema"/>
      <w:bookmarkEnd w:id="5"/>
      <w:r w:rsidRPr="00FE2797">
        <w:t>5. STROJEVI I OPREMA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955"/>
        <w:gridCol w:w="1244"/>
        <w:gridCol w:w="1511"/>
        <w:gridCol w:w="1776"/>
        <w:gridCol w:w="2576"/>
      </w:tblGrid>
      <w:tr w:rsidR="00A215F3" w:rsidRPr="00FE2797" w14:paraId="0268F786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dxa"/>
          </w:tcPr>
          <w:p w14:paraId="51223926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Vrsta stroja / opreme</w:t>
            </w:r>
          </w:p>
        </w:tc>
        <w:tc>
          <w:tcPr>
            <w:tcW w:w="1087" w:type="dxa"/>
          </w:tcPr>
          <w:p w14:paraId="28F75699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Godina nabave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0" w:type="dxa"/>
          </w:tcPr>
          <w:p w14:paraId="33C205B9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Vrijednost (EUR)</w:t>
            </w:r>
          </w:p>
        </w:tc>
        <w:tc>
          <w:tcPr>
            <w:tcW w:w="1552" w:type="dxa"/>
          </w:tcPr>
          <w:p w14:paraId="35625164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Smještaj (lokacija)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</w:tcPr>
          <w:p w14:paraId="17D9323C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2797">
              <w:rPr>
                <w:rFonts w:ascii="Candara" w:hAnsi="Candara"/>
                <w:sz w:val="21"/>
                <w:szCs w:val="21"/>
              </w:rPr>
              <w:t>Rizici specifični za opremu</w:t>
            </w:r>
          </w:p>
        </w:tc>
      </w:tr>
      <w:tr w:rsidR="00A215F3" w:rsidRPr="00FE2797" w14:paraId="0563B6B7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dxa"/>
          </w:tcPr>
          <w:p w14:paraId="0FEC8D59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0F7559F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0" w:type="dxa"/>
          </w:tcPr>
          <w:p w14:paraId="2B9C676A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552" w:type="dxa"/>
          </w:tcPr>
          <w:p w14:paraId="2A381F4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</w:tcPr>
          <w:p w14:paraId="4613EC79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215F3" w:rsidRPr="00FE2797" w14:paraId="7067FA61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dxa"/>
          </w:tcPr>
          <w:p w14:paraId="5D6530B1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E09E892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0" w:type="dxa"/>
          </w:tcPr>
          <w:p w14:paraId="2D2BDC9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552" w:type="dxa"/>
          </w:tcPr>
          <w:p w14:paraId="06BA6580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</w:tcPr>
          <w:p w14:paraId="37D48E68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5FFD49D5" w14:textId="5BB29ADE" w:rsidR="00A215F3" w:rsidRPr="00FE2797" w:rsidRDefault="00A215F3">
      <w:pPr>
        <w:rPr>
          <w:rFonts w:ascii="Candara" w:hAnsi="Candara"/>
        </w:rPr>
      </w:pPr>
    </w:p>
    <w:p w14:paraId="13064E1E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7" w:name="odgovornost"/>
      <w:bookmarkEnd w:id="6"/>
      <w:r w:rsidRPr="00FE2797">
        <w:t>6. ODGOVORNOST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667"/>
        <w:gridCol w:w="1840"/>
        <w:gridCol w:w="1242"/>
      </w:tblGrid>
      <w:tr w:rsidR="00A215F3" w:rsidRPr="00FE2797" w14:paraId="2C020D7A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EF914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Vrsta odgovornosti</w:t>
            </w:r>
          </w:p>
        </w:tc>
        <w:tc>
          <w:tcPr>
            <w:tcW w:w="0" w:type="auto"/>
          </w:tcPr>
          <w:p w14:paraId="48A5AD28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Primjenjivo (D/N)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F0B951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Napomena</w:t>
            </w:r>
          </w:p>
        </w:tc>
      </w:tr>
      <w:tr w:rsidR="00A215F3" w:rsidRPr="00FE2797" w14:paraId="045BA20A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5CBCBDF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Opća odgovornost prema trećima</w:t>
            </w:r>
          </w:p>
        </w:tc>
        <w:tc>
          <w:tcPr>
            <w:tcW w:w="0" w:type="auto"/>
          </w:tcPr>
          <w:p w14:paraId="56591FF3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42B835F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714D0287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641AE5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Odgovornost poslodavca prema zaposlenicima</w:t>
            </w:r>
          </w:p>
        </w:tc>
        <w:tc>
          <w:tcPr>
            <w:tcW w:w="0" w:type="auto"/>
          </w:tcPr>
          <w:p w14:paraId="7D68A50B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909FBE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581605EC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66F253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Odgovornost za proizvod</w:t>
            </w:r>
          </w:p>
        </w:tc>
        <w:tc>
          <w:tcPr>
            <w:tcW w:w="0" w:type="auto"/>
          </w:tcPr>
          <w:p w14:paraId="326B289A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017C9A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092D6494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EE10BD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Profesionalna odgovornost</w:t>
            </w:r>
          </w:p>
        </w:tc>
        <w:tc>
          <w:tcPr>
            <w:tcW w:w="0" w:type="auto"/>
          </w:tcPr>
          <w:p w14:paraId="4B0512FA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B5E560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7748DF14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7826EE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Odgovornost uprave i nadzornog odbora (D&amp;O)</w:t>
            </w:r>
          </w:p>
        </w:tc>
        <w:tc>
          <w:tcPr>
            <w:tcW w:w="0" w:type="auto"/>
          </w:tcPr>
          <w:p w14:paraId="757A55E5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3E1F6F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2B1B6346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A308E9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Ekološka odgovornost</w:t>
            </w:r>
          </w:p>
        </w:tc>
        <w:tc>
          <w:tcPr>
            <w:tcW w:w="0" w:type="auto"/>
          </w:tcPr>
          <w:p w14:paraId="2699BC38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D6878F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33B790FF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BC44AD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Odgovornost prijevoznika</w:t>
            </w:r>
          </w:p>
        </w:tc>
        <w:tc>
          <w:tcPr>
            <w:tcW w:w="0" w:type="auto"/>
          </w:tcPr>
          <w:p w14:paraId="55A38F4A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BD000B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11336DE9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4248CD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Ostalo</w:t>
            </w:r>
          </w:p>
        </w:tc>
        <w:tc>
          <w:tcPr>
            <w:tcW w:w="0" w:type="auto"/>
          </w:tcPr>
          <w:p w14:paraId="1DEFA2DD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47A937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</w:tbl>
    <w:p w14:paraId="7D0C4FB1" w14:textId="6DEC2CCF" w:rsidR="00A215F3" w:rsidRPr="00FE2797" w:rsidRDefault="00A215F3">
      <w:pPr>
        <w:rPr>
          <w:rFonts w:ascii="Candara" w:hAnsi="Candara"/>
        </w:rPr>
      </w:pPr>
    </w:p>
    <w:p w14:paraId="779496DE" w14:textId="77777777" w:rsidR="006D2621" w:rsidRDefault="006D2621">
      <w:pPr>
        <w:spacing w:after="160" w:line="259" w:lineRule="auto"/>
        <w:jc w:val="left"/>
        <w:rPr>
          <w:rFonts w:eastAsiaTheme="majorEastAsia" w:cstheme="majorBidi"/>
          <w:b/>
          <w:color w:val="44546A" w:themeColor="text2"/>
          <w:sz w:val="24"/>
          <w:szCs w:val="24"/>
        </w:rPr>
      </w:pPr>
      <w:bookmarkStart w:id="8" w:name="osiguranje-osoba"/>
      <w:bookmarkEnd w:id="7"/>
      <w:r>
        <w:br w:type="page"/>
      </w:r>
    </w:p>
    <w:p w14:paraId="5C5A4783" w14:textId="20B5C007" w:rsidR="00A215F3" w:rsidRPr="00FE2797" w:rsidRDefault="00000000" w:rsidP="00FE2797">
      <w:pPr>
        <w:pStyle w:val="Heading3"/>
        <w:numPr>
          <w:ilvl w:val="0"/>
          <w:numId w:val="0"/>
        </w:numPr>
      </w:pPr>
      <w:r w:rsidRPr="00FE2797">
        <w:lastRenderedPageBreak/>
        <w:t>7. OSIGURANJE OSOBA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97"/>
        <w:gridCol w:w="1843"/>
        <w:gridCol w:w="2469"/>
        <w:gridCol w:w="1353"/>
      </w:tblGrid>
      <w:tr w:rsidR="00A215F3" w:rsidRPr="00FE2797" w14:paraId="5881ACE1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14:paraId="0E76635B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Vrsta pokrića</w:t>
            </w:r>
          </w:p>
        </w:tc>
        <w:tc>
          <w:tcPr>
            <w:tcW w:w="1843" w:type="dxa"/>
          </w:tcPr>
          <w:p w14:paraId="6ECE49B6" w14:textId="77777777" w:rsidR="00A215F3" w:rsidRPr="00FE279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Primjenjivo (D/N)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7AEEB909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Broj osiguravanih osoba</w:t>
            </w:r>
          </w:p>
        </w:tc>
        <w:tc>
          <w:tcPr>
            <w:tcW w:w="1353" w:type="dxa"/>
          </w:tcPr>
          <w:p w14:paraId="333D7A18" w14:textId="77777777" w:rsidR="00A215F3" w:rsidRPr="00FE279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Napomena</w:t>
            </w:r>
          </w:p>
        </w:tc>
      </w:tr>
      <w:tr w:rsidR="00A215F3" w:rsidRPr="00FE2797" w14:paraId="273EF362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14:paraId="01D21C7E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Nezgoda na radu</w:t>
            </w:r>
          </w:p>
        </w:tc>
        <w:tc>
          <w:tcPr>
            <w:tcW w:w="1843" w:type="dxa"/>
          </w:tcPr>
          <w:p w14:paraId="749BBEB3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15EFCA53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353" w:type="dxa"/>
          </w:tcPr>
          <w:p w14:paraId="2B318EC5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00C477D1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14:paraId="350BCBF2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Skupno životno osiguranje</w:t>
            </w:r>
          </w:p>
        </w:tc>
        <w:tc>
          <w:tcPr>
            <w:tcW w:w="1843" w:type="dxa"/>
          </w:tcPr>
          <w:p w14:paraId="209BD87C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15CCD129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353" w:type="dxa"/>
          </w:tcPr>
          <w:p w14:paraId="6D80C9A4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9952CFA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14:paraId="0C353B4F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Dopunsko zdravstveno osiguranje</w:t>
            </w:r>
          </w:p>
        </w:tc>
        <w:tc>
          <w:tcPr>
            <w:tcW w:w="1843" w:type="dxa"/>
          </w:tcPr>
          <w:p w14:paraId="713109E2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015513AF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353" w:type="dxa"/>
          </w:tcPr>
          <w:p w14:paraId="37E0E3F0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25698F9C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14:paraId="7AEB605D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Putno osiguranje</w:t>
            </w:r>
          </w:p>
        </w:tc>
        <w:tc>
          <w:tcPr>
            <w:tcW w:w="1843" w:type="dxa"/>
          </w:tcPr>
          <w:p w14:paraId="32DCBF0E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599A4BE2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353" w:type="dxa"/>
          </w:tcPr>
          <w:p w14:paraId="0F5E081A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7568D926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14:paraId="5DB7160F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Ostalo</w:t>
            </w:r>
          </w:p>
        </w:tc>
        <w:tc>
          <w:tcPr>
            <w:tcW w:w="1843" w:type="dxa"/>
          </w:tcPr>
          <w:p w14:paraId="53D614BD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9" w:type="dxa"/>
          </w:tcPr>
          <w:p w14:paraId="56E687F3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353" w:type="dxa"/>
          </w:tcPr>
          <w:p w14:paraId="64FA67B1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525F7D91" w14:textId="187FEC33" w:rsidR="00A215F3" w:rsidRPr="00FE2797" w:rsidRDefault="00A215F3">
      <w:pPr>
        <w:rPr>
          <w:rFonts w:ascii="Candara" w:hAnsi="Candara"/>
        </w:rPr>
      </w:pPr>
    </w:p>
    <w:p w14:paraId="3460F9C5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9" w:name="roba-u-prijevozu-transportno-osiguranje"/>
      <w:bookmarkEnd w:id="8"/>
      <w:r w:rsidRPr="00FE2797">
        <w:t>8. ROBA U PRIJEVOZU / TRANSPORTNO OSIGURANJE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800"/>
        <w:gridCol w:w="1187"/>
      </w:tblGrid>
      <w:tr w:rsidR="00A215F3" w:rsidRPr="00FE2797" w14:paraId="2105A50B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5AC918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40E15EFB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Vrijednost</w:t>
            </w:r>
          </w:p>
        </w:tc>
      </w:tr>
      <w:tr w:rsidR="00A215F3" w:rsidRPr="00FE2797" w14:paraId="72CD8269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995303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Vrsta robe koja se prevozi</w:t>
            </w:r>
          </w:p>
        </w:tc>
        <w:tc>
          <w:tcPr>
            <w:tcW w:w="0" w:type="auto"/>
          </w:tcPr>
          <w:p w14:paraId="451286E3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2BE8E5C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10EF14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Godišnji promet robe (EUR)</w:t>
            </w:r>
          </w:p>
        </w:tc>
        <w:tc>
          <w:tcPr>
            <w:tcW w:w="0" w:type="auto"/>
          </w:tcPr>
          <w:p w14:paraId="11B0B28D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79B80779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682FAC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Unutarnji transport (D/N)</w:t>
            </w:r>
          </w:p>
        </w:tc>
        <w:tc>
          <w:tcPr>
            <w:tcW w:w="0" w:type="auto"/>
          </w:tcPr>
          <w:p w14:paraId="6EF9A190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589801C5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039808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Međunarodni transport (D/N)</w:t>
            </w:r>
          </w:p>
        </w:tc>
        <w:tc>
          <w:tcPr>
            <w:tcW w:w="0" w:type="auto"/>
          </w:tcPr>
          <w:p w14:paraId="38EC341D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8C683B7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88B61C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Vlastiti prijevoz / vanjski prijevoznik / kombinirano</w:t>
            </w:r>
          </w:p>
        </w:tc>
        <w:tc>
          <w:tcPr>
            <w:tcW w:w="0" w:type="auto"/>
          </w:tcPr>
          <w:p w14:paraId="49BF3E51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4D70CD26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B7D89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Destinacije (zemlja/regija)</w:t>
            </w:r>
          </w:p>
        </w:tc>
        <w:tc>
          <w:tcPr>
            <w:tcW w:w="0" w:type="auto"/>
          </w:tcPr>
          <w:p w14:paraId="61FD4C9B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7B7AF86D" w14:textId="7E9522AF" w:rsidR="00A215F3" w:rsidRPr="00FE2797" w:rsidRDefault="00A215F3">
      <w:pPr>
        <w:rPr>
          <w:rFonts w:ascii="Candara" w:hAnsi="Candara"/>
        </w:rPr>
      </w:pPr>
    </w:p>
    <w:p w14:paraId="379974B2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10" w:name="posebni-i-specifični-rizici"/>
      <w:bookmarkEnd w:id="9"/>
      <w:r w:rsidRPr="00FE2797">
        <w:t>9. POSEBNI I SPECIFIČNI RIZICI</w:t>
      </w:r>
    </w:p>
    <w:p w14:paraId="151E9753" w14:textId="77777777" w:rsidR="00A215F3" w:rsidRPr="00FE2797" w:rsidRDefault="00000000">
      <w:pPr>
        <w:rPr>
          <w:rFonts w:ascii="Candara" w:hAnsi="Candara"/>
        </w:rPr>
      </w:pPr>
      <w:r w:rsidRPr="00FE2797">
        <w:rPr>
          <w:rFonts w:ascii="Candara" w:hAnsi="Candara"/>
          <w:i/>
          <w:iCs/>
        </w:rPr>
        <w:t>(Opisati sve specifičnosti koje bi mogle utjecati na osiguranje)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955"/>
        <w:gridCol w:w="1840"/>
        <w:gridCol w:w="640"/>
      </w:tblGrid>
      <w:tr w:rsidR="00A215F3" w:rsidRPr="00FE2797" w14:paraId="3CC00A8D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A009A4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Specifičan rizik</w:t>
            </w:r>
          </w:p>
        </w:tc>
        <w:tc>
          <w:tcPr>
            <w:tcW w:w="0" w:type="auto"/>
          </w:tcPr>
          <w:p w14:paraId="039EC527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Primjenjivo (D/N)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FE2435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Opis</w:t>
            </w:r>
          </w:p>
        </w:tc>
      </w:tr>
      <w:tr w:rsidR="00A215F3" w:rsidRPr="00FE2797" w14:paraId="22705B97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61A275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Rad na visini</w:t>
            </w:r>
          </w:p>
        </w:tc>
        <w:tc>
          <w:tcPr>
            <w:tcW w:w="0" w:type="auto"/>
          </w:tcPr>
          <w:p w14:paraId="72A2372C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2B7690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0273798E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766B33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Rad s opasnim tvarima</w:t>
            </w:r>
          </w:p>
        </w:tc>
        <w:tc>
          <w:tcPr>
            <w:tcW w:w="0" w:type="auto"/>
          </w:tcPr>
          <w:p w14:paraId="18FB57F9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6ABA21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2AFA43CE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0AEFE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Sezonski rizici</w:t>
            </w:r>
          </w:p>
        </w:tc>
        <w:tc>
          <w:tcPr>
            <w:tcW w:w="0" w:type="auto"/>
          </w:tcPr>
          <w:p w14:paraId="75A2A7BE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0A1CA8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71BA016D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080988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Cyber rizici / digitalna imovina</w:t>
            </w:r>
          </w:p>
        </w:tc>
        <w:tc>
          <w:tcPr>
            <w:tcW w:w="0" w:type="auto"/>
          </w:tcPr>
          <w:p w14:paraId="75627C1F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40A9AC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148B4D46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D5998E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Izvozni/uvozni rizici</w:t>
            </w:r>
          </w:p>
        </w:tc>
        <w:tc>
          <w:tcPr>
            <w:tcW w:w="0" w:type="auto"/>
          </w:tcPr>
          <w:p w14:paraId="28707FBB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E0E3AD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5FCEC856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F203FC9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Projekt-specifični rizici</w:t>
            </w:r>
          </w:p>
        </w:tc>
        <w:tc>
          <w:tcPr>
            <w:tcW w:w="0" w:type="auto"/>
          </w:tcPr>
          <w:p w14:paraId="533BD530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6E841B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  <w:tr w:rsidR="00A215F3" w:rsidRPr="00FE2797" w14:paraId="2E6372FC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E884DA" w14:textId="77777777" w:rsidR="00A215F3" w:rsidRPr="00FE2797" w:rsidRDefault="00000000" w:rsidP="00FE2797">
            <w:pPr>
              <w:spacing w:after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Ostalo</w:t>
            </w:r>
          </w:p>
        </w:tc>
        <w:tc>
          <w:tcPr>
            <w:tcW w:w="0" w:type="auto"/>
          </w:tcPr>
          <w:p w14:paraId="653D7177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36CD02" w14:textId="77777777" w:rsidR="00A215F3" w:rsidRPr="00FE2797" w:rsidRDefault="00A215F3" w:rsidP="00FE2797">
            <w:pPr>
              <w:spacing w:after="0"/>
              <w:rPr>
                <w:rFonts w:ascii="Candara" w:hAnsi="Candara"/>
              </w:rPr>
            </w:pPr>
          </w:p>
        </w:tc>
      </w:tr>
    </w:tbl>
    <w:p w14:paraId="383EFC4C" w14:textId="3A60A2B0" w:rsidR="00A215F3" w:rsidRPr="00FE2797" w:rsidRDefault="00A215F3">
      <w:pPr>
        <w:rPr>
          <w:rFonts w:ascii="Candara" w:hAnsi="Candara"/>
        </w:rPr>
      </w:pPr>
    </w:p>
    <w:p w14:paraId="6361D147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11" w:name="povijest-šteta-zadnjih-5-godina"/>
      <w:bookmarkEnd w:id="10"/>
      <w:r w:rsidRPr="00FE2797">
        <w:t>10. POVIJEST ŠTETA (zadnjih 5 godina)</w:t>
      </w:r>
    </w:p>
    <w:p w14:paraId="3AA674F9" w14:textId="77777777" w:rsidR="00A215F3" w:rsidRPr="00FE2797" w:rsidRDefault="00000000">
      <w:pPr>
        <w:rPr>
          <w:rFonts w:ascii="Candara" w:hAnsi="Candara"/>
          <w:sz w:val="21"/>
          <w:szCs w:val="21"/>
        </w:rPr>
      </w:pPr>
      <w:r w:rsidRPr="00FE2797">
        <w:rPr>
          <w:rFonts w:ascii="Candara" w:hAnsi="Candara"/>
          <w:i/>
          <w:iCs/>
          <w:sz w:val="21"/>
          <w:szCs w:val="21"/>
        </w:rPr>
        <w:t>(Priložiti evidenciju šteta ako je dostupna, ili popuniti donju tablicu)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620"/>
        <w:gridCol w:w="1317"/>
        <w:gridCol w:w="1704"/>
        <w:gridCol w:w="2401"/>
        <w:gridCol w:w="2401"/>
        <w:gridCol w:w="619"/>
      </w:tblGrid>
      <w:tr w:rsidR="00A215F3" w:rsidRPr="00FE2797" w14:paraId="3DF22216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14:paraId="1EE248AE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Godina</w:t>
            </w:r>
          </w:p>
        </w:tc>
        <w:tc>
          <w:tcPr>
            <w:tcW w:w="1150" w:type="dxa"/>
          </w:tcPr>
          <w:p w14:paraId="6A0AF4FA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Vrsta osiguranja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41651CBF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Opis štetnog događaja</w:t>
            </w:r>
          </w:p>
        </w:tc>
        <w:tc>
          <w:tcPr>
            <w:tcW w:w="2098" w:type="dxa"/>
          </w:tcPr>
          <w:p w14:paraId="5F0CA3E0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Iznos isplaćene naknade (EUR)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</w:tcPr>
          <w:p w14:paraId="02F7B613" w14:textId="77777777" w:rsidR="00A215F3" w:rsidRPr="00FE2797" w:rsidRDefault="00000000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Iznos odbijenog zahtjeva (EUR)</w:t>
            </w:r>
          </w:p>
        </w:tc>
        <w:tc>
          <w:tcPr>
            <w:tcW w:w="541" w:type="dxa"/>
          </w:tcPr>
          <w:p w14:paraId="7410A761" w14:textId="77777777" w:rsidR="00A215F3" w:rsidRPr="00FE2797" w:rsidRDefault="00000000" w:rsidP="00FE279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FE2797">
              <w:rPr>
                <w:rFonts w:ascii="Candara" w:hAnsi="Candara"/>
                <w:sz w:val="20"/>
                <w:szCs w:val="20"/>
              </w:rPr>
              <w:t>Status</w:t>
            </w:r>
          </w:p>
        </w:tc>
      </w:tr>
      <w:tr w:rsidR="00A215F3" w:rsidRPr="00FE2797" w14:paraId="474A8AC7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14:paraId="0D127B5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91267D0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72255AAB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E145699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</w:tcPr>
          <w:p w14:paraId="0D4AE475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1" w:type="dxa"/>
          </w:tcPr>
          <w:p w14:paraId="0D2B0AD0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215F3" w:rsidRPr="00FE2797" w14:paraId="5C1B131E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14:paraId="11BADD7F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8D00583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6F704B2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2000BD5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</w:tcPr>
          <w:p w14:paraId="16D2BD2D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1" w:type="dxa"/>
          </w:tcPr>
          <w:p w14:paraId="2DB0362C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215F3" w:rsidRPr="00FE2797" w14:paraId="1BAD4BC4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14:paraId="15B95DA3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349F3BC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47182BA5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54F2334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</w:tcPr>
          <w:p w14:paraId="4806263B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1" w:type="dxa"/>
          </w:tcPr>
          <w:p w14:paraId="2EF582F2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215F3" w:rsidRPr="00FE2797" w14:paraId="7CF0DB8A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14:paraId="62406D7A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CB4C1E7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1D7F99EE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340FF3A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</w:tcPr>
          <w:p w14:paraId="2F8C1DA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1" w:type="dxa"/>
          </w:tcPr>
          <w:p w14:paraId="2D5A5162" w14:textId="77777777" w:rsidR="00A215F3" w:rsidRPr="00FE2797" w:rsidRDefault="00A215F3" w:rsidP="00FE27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215F3" w:rsidRPr="00FE2797" w14:paraId="4CAC0730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14:paraId="3F232D27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387F9EC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528BBAE2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58D5C5F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dxa"/>
          </w:tcPr>
          <w:p w14:paraId="2B1D9469" w14:textId="77777777" w:rsidR="00A215F3" w:rsidRPr="00FE2797" w:rsidRDefault="00A215F3" w:rsidP="00FE279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1" w:type="dxa"/>
          </w:tcPr>
          <w:p w14:paraId="28D34934" w14:textId="77777777" w:rsidR="00A215F3" w:rsidRPr="00FE2797" w:rsidRDefault="00A215F3" w:rsidP="00FE27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A5F4927" w14:textId="77777777" w:rsidR="00FE2797" w:rsidRDefault="00FE2797" w:rsidP="00FE2797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p w14:paraId="7E9C9839" w14:textId="0F152CAB" w:rsidR="00A215F3" w:rsidRPr="00FE2797" w:rsidRDefault="00000000" w:rsidP="00FE2797">
      <w:pPr>
        <w:pStyle w:val="BodyText"/>
        <w:ind w:right="0"/>
        <w:rPr>
          <w:rFonts w:ascii="Candara" w:hAnsi="Candara"/>
          <w:sz w:val="22"/>
          <w:szCs w:val="18"/>
        </w:rPr>
      </w:pPr>
      <w:r w:rsidRPr="00FE2797">
        <w:rPr>
          <w:rFonts w:ascii="Candara" w:hAnsi="Candara"/>
          <w:b/>
          <w:bCs/>
          <w:sz w:val="22"/>
          <w:szCs w:val="18"/>
        </w:rPr>
        <w:t>Ukupni broj šteta u periodu:</w:t>
      </w:r>
      <w:r w:rsidRPr="00FE2797">
        <w:rPr>
          <w:rFonts w:ascii="Candara" w:hAnsi="Candara"/>
          <w:sz w:val="22"/>
          <w:szCs w:val="18"/>
        </w:rPr>
        <w:t xml:space="preserve"> _______ </w:t>
      </w:r>
      <w:r w:rsidRPr="00FE2797">
        <w:rPr>
          <w:rFonts w:ascii="Candara" w:hAnsi="Candara"/>
          <w:b/>
          <w:bCs/>
          <w:sz w:val="22"/>
          <w:szCs w:val="18"/>
        </w:rPr>
        <w:t>Ukupni iznos isplaćenih naknada:</w:t>
      </w:r>
      <w:r w:rsidRPr="00FE2797">
        <w:rPr>
          <w:rFonts w:ascii="Candara" w:hAnsi="Candara"/>
          <w:sz w:val="22"/>
          <w:szCs w:val="18"/>
        </w:rPr>
        <w:t xml:space="preserve"> _______ EUR</w:t>
      </w:r>
    </w:p>
    <w:p w14:paraId="5888B01A" w14:textId="77777777" w:rsidR="00A215F3" w:rsidRPr="00FE2797" w:rsidRDefault="00000000" w:rsidP="00FE2797">
      <w:pPr>
        <w:pStyle w:val="BodyText"/>
        <w:ind w:right="0"/>
        <w:rPr>
          <w:rFonts w:ascii="Candara" w:hAnsi="Candara"/>
          <w:sz w:val="22"/>
          <w:szCs w:val="18"/>
        </w:rPr>
      </w:pPr>
      <w:r w:rsidRPr="00FE2797">
        <w:rPr>
          <w:rFonts w:ascii="Candara" w:hAnsi="Candara"/>
          <w:sz w:val="22"/>
          <w:szCs w:val="18"/>
        </w:rPr>
        <w:t>Postoje li trenutno otvoreni odštetni zahtjevi? (D/N): _______ Ako da, opis: _______________________________________________</w:t>
      </w:r>
    </w:p>
    <w:p w14:paraId="0ED8B6C8" w14:textId="284E113B" w:rsidR="00A215F3" w:rsidRPr="00FE2797" w:rsidRDefault="00A215F3">
      <w:pPr>
        <w:rPr>
          <w:rFonts w:ascii="Candara" w:hAnsi="Candara"/>
        </w:rPr>
      </w:pPr>
    </w:p>
    <w:p w14:paraId="2AE8C843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12" w:name="postojeće-police-osiguranja"/>
      <w:bookmarkEnd w:id="11"/>
      <w:r w:rsidRPr="00FE2797">
        <w:lastRenderedPageBreak/>
        <w:t>11. POSTOJEĆE POLICE OSIGURANJA</w:t>
      </w:r>
    </w:p>
    <w:p w14:paraId="3F576F42" w14:textId="77777777" w:rsidR="00A215F3" w:rsidRPr="00FE2797" w:rsidRDefault="00000000">
      <w:pPr>
        <w:rPr>
          <w:rFonts w:ascii="Candara" w:hAnsi="Candara"/>
        </w:rPr>
      </w:pPr>
      <w:r w:rsidRPr="00FE2797">
        <w:rPr>
          <w:rFonts w:ascii="Candara" w:hAnsi="Candara"/>
          <w:i/>
          <w:iCs/>
        </w:rPr>
        <w:t>(Priložiti kopije polica ili popuniti donju tablicu)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527"/>
        <w:gridCol w:w="1166"/>
        <w:gridCol w:w="1166"/>
        <w:gridCol w:w="1166"/>
        <w:gridCol w:w="2153"/>
        <w:gridCol w:w="1884"/>
      </w:tblGrid>
      <w:tr w:rsidR="00A215F3" w:rsidRPr="00FE2797" w14:paraId="57BE22DC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</w:tcPr>
          <w:p w14:paraId="1854044E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Vrsta osiguranja</w:t>
            </w:r>
          </w:p>
        </w:tc>
        <w:tc>
          <w:tcPr>
            <w:tcW w:w="1019" w:type="dxa"/>
          </w:tcPr>
          <w:p w14:paraId="6A35E931" w14:textId="77777777" w:rsidR="00A215F3" w:rsidRPr="00FE279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Osiguratelj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dxa"/>
          </w:tcPr>
          <w:p w14:paraId="313FFA3B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Broj police</w:t>
            </w:r>
          </w:p>
        </w:tc>
        <w:tc>
          <w:tcPr>
            <w:tcW w:w="1019" w:type="dxa"/>
          </w:tcPr>
          <w:p w14:paraId="7E6F85D1" w14:textId="77777777" w:rsidR="00A215F3" w:rsidRPr="00FE279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Rok trajanja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176DA1B5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Godišnja premija (EUR)</w:t>
            </w:r>
          </w:p>
        </w:tc>
        <w:tc>
          <w:tcPr>
            <w:tcW w:w="1646" w:type="dxa"/>
          </w:tcPr>
          <w:p w14:paraId="63E15D1E" w14:textId="77777777" w:rsidR="00A215F3" w:rsidRPr="00FE279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Limit pokrića (EUR)</w:t>
            </w:r>
          </w:p>
        </w:tc>
      </w:tr>
      <w:tr w:rsidR="00A215F3" w:rsidRPr="00FE2797" w14:paraId="33F300B9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</w:tcPr>
          <w:p w14:paraId="344C3F65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019" w:type="dxa"/>
          </w:tcPr>
          <w:p w14:paraId="6C28C7A0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dxa"/>
          </w:tcPr>
          <w:p w14:paraId="737F3F55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019" w:type="dxa"/>
          </w:tcPr>
          <w:p w14:paraId="73AD839B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629EC885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646" w:type="dxa"/>
          </w:tcPr>
          <w:p w14:paraId="007F6FDC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22990477" w14:textId="77777777" w:rsidTr="00FE27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</w:tcPr>
          <w:p w14:paraId="0C6F7CB9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019" w:type="dxa"/>
          </w:tcPr>
          <w:p w14:paraId="2C107713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dxa"/>
          </w:tcPr>
          <w:p w14:paraId="0EB4D608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019" w:type="dxa"/>
          </w:tcPr>
          <w:p w14:paraId="4A839CA0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361C92A9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646" w:type="dxa"/>
          </w:tcPr>
          <w:p w14:paraId="0133282D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215F3" w:rsidRPr="00FE2797" w14:paraId="29683D9F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</w:tcPr>
          <w:p w14:paraId="634D12F6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019" w:type="dxa"/>
          </w:tcPr>
          <w:p w14:paraId="1EDD4285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dxa"/>
          </w:tcPr>
          <w:p w14:paraId="294DADB4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019" w:type="dxa"/>
          </w:tcPr>
          <w:p w14:paraId="240D8D83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1" w:type="dxa"/>
          </w:tcPr>
          <w:p w14:paraId="36FA9A21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1646" w:type="dxa"/>
          </w:tcPr>
          <w:p w14:paraId="46F7BF07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1F10BA94" w14:textId="1EDAEED7" w:rsidR="00A215F3" w:rsidRPr="00FE2797" w:rsidRDefault="00A215F3">
      <w:pPr>
        <w:rPr>
          <w:rFonts w:ascii="Candara" w:hAnsi="Candara"/>
        </w:rPr>
      </w:pPr>
    </w:p>
    <w:p w14:paraId="5FD293FC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13" w:name="zakonske-i-ugovorne-obveze-osiguranja"/>
      <w:bookmarkEnd w:id="12"/>
      <w:r w:rsidRPr="00FE2797">
        <w:t>12. ZAKONSKE I UGOVORNE OBVEZE OSIGURANJA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429"/>
        <w:gridCol w:w="3220"/>
        <w:gridCol w:w="825"/>
      </w:tblGrid>
      <w:tr w:rsidR="00A215F3" w:rsidRPr="00FE2797" w14:paraId="2ED1FA91" w14:textId="77777777" w:rsidTr="00F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840AAE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Vrsta obveze</w:t>
            </w:r>
          </w:p>
        </w:tc>
        <w:tc>
          <w:tcPr>
            <w:tcW w:w="0" w:type="auto"/>
          </w:tcPr>
          <w:p w14:paraId="609A90C6" w14:textId="77777777" w:rsidR="00A215F3" w:rsidRPr="00FE279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Propisano zakonom / ugovorom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B0D46C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</w:rPr>
              <w:t>Detalji</w:t>
            </w:r>
          </w:p>
        </w:tc>
      </w:tr>
      <w:tr w:rsidR="00A215F3" w:rsidRPr="00FE2797" w14:paraId="6BC3D411" w14:textId="77777777" w:rsidTr="00FE2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866384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6A4ACCC" w14:textId="77777777" w:rsidR="00A215F3" w:rsidRPr="00FE2797" w:rsidRDefault="00A21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85F2E3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  <w:tr w:rsidR="00A215F3" w:rsidRPr="00FE2797" w14:paraId="606CB733" w14:textId="77777777" w:rsidTr="00FE279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AB75B4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6CF5907" w14:textId="77777777" w:rsidR="00A215F3" w:rsidRPr="00FE2797" w:rsidRDefault="00A2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B9724D5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</w:tbl>
    <w:p w14:paraId="45BD05BB" w14:textId="55F7CF5C" w:rsidR="00A215F3" w:rsidRPr="00FE2797" w:rsidRDefault="00A215F3">
      <w:pPr>
        <w:rPr>
          <w:rFonts w:ascii="Candara" w:hAnsi="Candara"/>
        </w:rPr>
      </w:pPr>
    </w:p>
    <w:p w14:paraId="7F91A77A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14" w:name="zahtjevi-i-napomene-klijenta"/>
      <w:bookmarkEnd w:id="13"/>
      <w:r w:rsidRPr="00FE2797">
        <w:t>13. ZAHTJEVI I NAPOMENE KLIJENTA</w:t>
      </w:r>
    </w:p>
    <w:p w14:paraId="11D2FDA4" w14:textId="77777777" w:rsidR="00A215F3" w:rsidRDefault="00000000">
      <w:pPr>
        <w:rPr>
          <w:rFonts w:ascii="Candara" w:hAnsi="Candara"/>
          <w:i/>
          <w:iCs/>
        </w:rPr>
      </w:pPr>
      <w:r w:rsidRPr="00FE2797">
        <w:rPr>
          <w:rFonts w:ascii="Candara" w:hAnsi="Candara"/>
          <w:i/>
          <w:iCs/>
        </w:rPr>
        <w:t>(Specifični zahtjevi, prioriteti, ograničenja proračuna, preferencije prema osiguratelju i sl.)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2797" w14:paraId="5B651F1A" w14:textId="77777777" w:rsidTr="00FE2797">
        <w:tc>
          <w:tcPr>
            <w:tcW w:w="9062" w:type="dxa"/>
          </w:tcPr>
          <w:p w14:paraId="4A312BAB" w14:textId="77777777" w:rsidR="00FE2797" w:rsidRDefault="00FE2797">
            <w:pPr>
              <w:rPr>
                <w:rFonts w:ascii="Candara" w:hAnsi="Candara"/>
              </w:rPr>
            </w:pPr>
          </w:p>
        </w:tc>
      </w:tr>
      <w:tr w:rsidR="00FE2797" w14:paraId="7BBAAF0E" w14:textId="77777777" w:rsidTr="00FE2797">
        <w:tc>
          <w:tcPr>
            <w:tcW w:w="9062" w:type="dxa"/>
          </w:tcPr>
          <w:p w14:paraId="51671C6F" w14:textId="77777777" w:rsidR="00FE2797" w:rsidRDefault="00FE2797">
            <w:pPr>
              <w:rPr>
                <w:rFonts w:ascii="Candara" w:hAnsi="Candara"/>
              </w:rPr>
            </w:pPr>
          </w:p>
        </w:tc>
      </w:tr>
      <w:tr w:rsidR="00FE2797" w14:paraId="342DA5CB" w14:textId="77777777" w:rsidTr="00FE2797">
        <w:tc>
          <w:tcPr>
            <w:tcW w:w="9062" w:type="dxa"/>
          </w:tcPr>
          <w:p w14:paraId="43DA9908" w14:textId="77777777" w:rsidR="00FE2797" w:rsidRDefault="00FE2797">
            <w:pPr>
              <w:rPr>
                <w:rFonts w:ascii="Candara" w:hAnsi="Candara"/>
              </w:rPr>
            </w:pPr>
          </w:p>
        </w:tc>
      </w:tr>
      <w:tr w:rsidR="00FE2797" w14:paraId="296DE4F0" w14:textId="77777777" w:rsidTr="00FE2797">
        <w:tc>
          <w:tcPr>
            <w:tcW w:w="9062" w:type="dxa"/>
          </w:tcPr>
          <w:p w14:paraId="563E2713" w14:textId="77777777" w:rsidR="00FE2797" w:rsidRDefault="00FE2797">
            <w:pPr>
              <w:rPr>
                <w:rFonts w:ascii="Candara" w:hAnsi="Candara"/>
              </w:rPr>
            </w:pPr>
          </w:p>
        </w:tc>
      </w:tr>
    </w:tbl>
    <w:p w14:paraId="50199BE9" w14:textId="07E0B6E1" w:rsidR="00A215F3" w:rsidRPr="00FE2797" w:rsidRDefault="00A215F3">
      <w:pPr>
        <w:rPr>
          <w:rFonts w:ascii="Candara" w:hAnsi="Candara"/>
        </w:rPr>
      </w:pPr>
    </w:p>
    <w:p w14:paraId="017F186F" w14:textId="77777777" w:rsidR="00A215F3" w:rsidRPr="00FE2797" w:rsidRDefault="00000000" w:rsidP="00FE2797">
      <w:pPr>
        <w:pStyle w:val="Heading3"/>
        <w:numPr>
          <w:ilvl w:val="0"/>
          <w:numId w:val="0"/>
        </w:numPr>
      </w:pPr>
      <w:bookmarkStart w:id="15" w:name="izjava-i-potpis"/>
      <w:bookmarkEnd w:id="14"/>
      <w:r w:rsidRPr="00FE2797">
        <w:t>14. IZJAVA I POTPIS</w:t>
      </w:r>
    </w:p>
    <w:p w14:paraId="03D90530" w14:textId="77777777" w:rsidR="00A215F3" w:rsidRPr="00FE2797" w:rsidRDefault="00000000">
      <w:pPr>
        <w:rPr>
          <w:rFonts w:ascii="Candara" w:hAnsi="Candara"/>
        </w:rPr>
      </w:pPr>
      <w:r w:rsidRPr="00FE2797">
        <w:rPr>
          <w:rFonts w:ascii="Candara" w:hAnsi="Candara"/>
        </w:rPr>
        <w:t>Potvrđujem da su navedeni podaci točni i potpuni te da sam upoznat/a s time da ANO d.o.o. iste koristi isključivo u svrhu pružanja brokerskih usluga i pripreme osiguratelnog programa.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28"/>
        <w:gridCol w:w="5803"/>
      </w:tblGrid>
      <w:tr w:rsidR="00A215F3" w:rsidRPr="00FE2797" w14:paraId="7E9ADD78" w14:textId="77777777" w:rsidTr="00FE2797">
        <w:tc>
          <w:tcPr>
            <w:tcW w:w="0" w:type="auto"/>
          </w:tcPr>
          <w:p w14:paraId="37A8B205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Datum popunjavanja:</w:t>
            </w: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14:paraId="5DC235E8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  <w:tr w:rsidR="00A215F3" w:rsidRPr="00FE2797" w14:paraId="5F81EABE" w14:textId="77777777" w:rsidTr="00FE2797">
        <w:tc>
          <w:tcPr>
            <w:tcW w:w="0" w:type="auto"/>
          </w:tcPr>
          <w:p w14:paraId="162F3CC8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Ime i prezime ovlaštene osobe: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14:paraId="2D3B859F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  <w:tr w:rsidR="00A215F3" w:rsidRPr="00FE2797" w14:paraId="698E7EDF" w14:textId="77777777" w:rsidTr="00FE2797">
        <w:tc>
          <w:tcPr>
            <w:tcW w:w="0" w:type="auto"/>
          </w:tcPr>
          <w:p w14:paraId="16176DE4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Funkcija: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14:paraId="1BDF88C4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  <w:tr w:rsidR="00A215F3" w:rsidRPr="00FE2797" w14:paraId="33E91C5B" w14:textId="77777777" w:rsidTr="00FE2797">
        <w:tc>
          <w:tcPr>
            <w:tcW w:w="0" w:type="auto"/>
          </w:tcPr>
          <w:p w14:paraId="1AA62FA5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Potpis: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14:paraId="747E7F5E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  <w:tr w:rsidR="00A215F3" w:rsidRPr="00FE2797" w14:paraId="0F5A6BE4" w14:textId="77777777" w:rsidTr="00FE2797">
        <w:tc>
          <w:tcPr>
            <w:tcW w:w="0" w:type="auto"/>
          </w:tcPr>
          <w:p w14:paraId="10F1956B" w14:textId="77777777" w:rsidR="00A215F3" w:rsidRPr="00FE2797" w:rsidRDefault="00000000">
            <w:pPr>
              <w:rPr>
                <w:rFonts w:ascii="Candara" w:hAnsi="Candara"/>
              </w:rPr>
            </w:pPr>
            <w:r w:rsidRPr="00FE2797">
              <w:rPr>
                <w:rFonts w:ascii="Candara" w:hAnsi="Candara"/>
                <w:b/>
                <w:bCs/>
              </w:rPr>
              <w:t>Pečat: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14:paraId="1EFDF2DB" w14:textId="77777777" w:rsidR="00A215F3" w:rsidRPr="00FE2797" w:rsidRDefault="00A215F3">
            <w:pPr>
              <w:rPr>
                <w:rFonts w:ascii="Candara" w:hAnsi="Candara"/>
              </w:rPr>
            </w:pPr>
          </w:p>
        </w:tc>
      </w:tr>
    </w:tbl>
    <w:p w14:paraId="5A8B0B7A" w14:textId="77777777" w:rsidR="00FE2797" w:rsidRDefault="00FE2797">
      <w:pPr>
        <w:rPr>
          <w:rFonts w:ascii="Candara" w:hAnsi="Candara"/>
          <w:i/>
          <w:iCs/>
          <w:sz w:val="20"/>
          <w:szCs w:val="20"/>
        </w:rPr>
      </w:pPr>
    </w:p>
    <w:p w14:paraId="14F90089" w14:textId="5C419201" w:rsidR="00A215F3" w:rsidRPr="00FE2797" w:rsidRDefault="00000000">
      <w:pPr>
        <w:rPr>
          <w:rFonts w:ascii="Candara" w:hAnsi="Candara"/>
          <w:sz w:val="20"/>
          <w:szCs w:val="20"/>
        </w:rPr>
      </w:pPr>
      <w:r w:rsidRPr="00FE2797">
        <w:rPr>
          <w:rFonts w:ascii="Candara" w:hAnsi="Candara"/>
          <w:i/>
          <w:iCs/>
          <w:sz w:val="20"/>
          <w:szCs w:val="20"/>
        </w:rPr>
        <w:t>ANO d.o.o. | Ilica 216, 10000 Zagreb | OIB: 47303262039 | www.ano.hr</w:t>
      </w:r>
      <w:r w:rsidRPr="00FE2797">
        <w:rPr>
          <w:rFonts w:ascii="Candara" w:hAnsi="Candara"/>
          <w:sz w:val="20"/>
          <w:szCs w:val="20"/>
        </w:rPr>
        <w:t xml:space="preserve"> </w:t>
      </w:r>
      <w:r w:rsidRPr="00FE2797">
        <w:rPr>
          <w:rFonts w:ascii="Candara" w:hAnsi="Candara"/>
          <w:i/>
          <w:iCs/>
          <w:sz w:val="20"/>
          <w:szCs w:val="20"/>
        </w:rPr>
        <w:t>Obrazac OBR-PR-04-01-v1.0 — interno i povjerljivo</w:t>
      </w:r>
      <w:bookmarkEnd w:id="0"/>
      <w:bookmarkEnd w:id="15"/>
    </w:p>
    <w:sectPr w:rsidR="00A215F3" w:rsidRPr="00FE2797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BE12" w14:textId="77777777" w:rsidR="00215EA4" w:rsidRDefault="00215EA4">
      <w:pPr>
        <w:spacing w:after="0"/>
      </w:pPr>
      <w:r>
        <w:separator/>
      </w:r>
    </w:p>
  </w:endnote>
  <w:endnote w:type="continuationSeparator" w:id="0">
    <w:p w14:paraId="7CA23D7B" w14:textId="77777777" w:rsidR="00215EA4" w:rsidRDefault="00215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76DC72AF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5EBEE6C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OBR-PR-04-01 — UPITNIK O RIZIKU KLIJENTA</w:t>
          </w:r>
        </w:p>
        <w:p w14:paraId="5CA7ADDD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27C5EE20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6F4CF83F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02288FB3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2B6C144C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D7E5" w14:textId="77777777" w:rsidR="00215EA4" w:rsidRDefault="00215EA4">
      <w:pPr>
        <w:spacing w:after="0"/>
      </w:pPr>
      <w:r>
        <w:separator/>
      </w:r>
    </w:p>
  </w:footnote>
  <w:footnote w:type="continuationSeparator" w:id="0">
    <w:p w14:paraId="47150177" w14:textId="77777777" w:rsidR="00215EA4" w:rsidRDefault="00215E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23B135BF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5B4BD4C1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072DDFAF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5EB01D0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6067A82B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878131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07878131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178F4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166A35F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231620705">
    <w:abstractNumId w:val="0"/>
  </w:num>
  <w:num w:numId="12" w16cid:durableId="1678770492">
    <w:abstractNumId w:val="5"/>
  </w:num>
  <w:num w:numId="13" w16cid:durableId="1607080733">
    <w:abstractNumId w:val="5"/>
  </w:num>
  <w:num w:numId="14" w16cid:durableId="696541674">
    <w:abstractNumId w:val="5"/>
  </w:num>
  <w:num w:numId="15" w16cid:durableId="938563713">
    <w:abstractNumId w:val="5"/>
  </w:num>
  <w:num w:numId="16" w16cid:durableId="1213536817">
    <w:abstractNumId w:val="5"/>
  </w:num>
  <w:num w:numId="17" w16cid:durableId="1463839522">
    <w:abstractNumId w:val="5"/>
  </w:num>
  <w:num w:numId="18" w16cid:durableId="446703853">
    <w:abstractNumId w:val="5"/>
  </w:num>
  <w:num w:numId="19" w16cid:durableId="158352001">
    <w:abstractNumId w:val="5"/>
  </w:num>
  <w:num w:numId="20" w16cid:durableId="1338457659">
    <w:abstractNumId w:val="5"/>
  </w:num>
  <w:num w:numId="21" w16cid:durableId="865558732">
    <w:abstractNumId w:val="5"/>
  </w:num>
  <w:num w:numId="22" w16cid:durableId="2067291731">
    <w:abstractNumId w:val="5"/>
  </w:num>
  <w:num w:numId="23" w16cid:durableId="275408992">
    <w:abstractNumId w:val="5"/>
  </w:num>
  <w:num w:numId="24" w16cid:durableId="1115369833">
    <w:abstractNumId w:val="5"/>
  </w:num>
  <w:num w:numId="25" w16cid:durableId="11783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15EA4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6D2621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215F3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E2797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A71E4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797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ascii="Candara" w:eastAsiaTheme="majorEastAsia" w:hAnsi="Candar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E2797"/>
    <w:rPr>
      <w:rFonts w:ascii="Candara" w:eastAsiaTheme="majorEastAsia" w:hAnsi="Candar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FE27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2026-04-11T18:21:00Z</dcterms:modified>
</cp:coreProperties>
</file>