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0D344F86" w:rsidR="009509B6" w:rsidRPr="009509B6" w:rsidRDefault="00823FAF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>ANO</w:t>
      </w:r>
      <w:r w:rsidR="0029742E"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01B91BF2" w:rsidR="007544F0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01031856" w:rsidR="007544F0" w:rsidRPr="009509B6" w:rsidRDefault="00823FAF" w:rsidP="00823FAF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6EC9443A" w:rsidR="007544F0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55298A8D" w:rsidR="007544F0" w:rsidRPr="009509B6" w:rsidRDefault="00823FAF" w:rsidP="00823FAF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20.05.2021</w:t>
            </w: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</w:t>
            </w:r>
            <w:r w:rsidRPr="00823FAF">
              <w:rPr>
                <w:b/>
                <w:bCs/>
                <w:iCs/>
              </w:rPr>
              <w:t>srednja</w:t>
            </w:r>
            <w:r w:rsidRPr="009509B6">
              <w:rPr>
                <w:bCs/>
                <w:iCs/>
              </w:rPr>
              <w:t>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2ADB8606" w:rsidR="007544F0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2B14C73" w14:textId="55DBA70C" w:rsidR="00823FAF" w:rsidRPr="009509B6" w:rsidRDefault="00823FAF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51383F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>.0</w:t>
            </w:r>
            <w:r w:rsidR="0051383F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>.2022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278FB8DC" w14:textId="77777777" w:rsidR="00823FAF" w:rsidRPr="009509B6" w:rsidRDefault="00823FAF" w:rsidP="00823FAF">
      <w:pPr>
        <w:spacing w:after="120"/>
        <w:rPr>
          <w:b/>
          <w:i/>
          <w:color w:val="000000"/>
        </w:rPr>
      </w:pPr>
      <w:bookmarkStart w:id="0" w:name="_Hlk492904075"/>
      <w:r>
        <w:rPr>
          <w:b/>
          <w:i/>
          <w:color w:val="000000"/>
        </w:rPr>
        <w:t>Radna skupina članka 29 (</w:t>
      </w:r>
      <w:r w:rsidRPr="00672A51">
        <w:rPr>
          <w:b/>
          <w:i/>
          <w:color w:val="000000"/>
        </w:rPr>
        <w:t>WP29</w:t>
      </w:r>
      <w:r>
        <w:rPr>
          <w:b/>
          <w:i/>
          <w:color w:val="000000"/>
        </w:rPr>
        <w:t xml:space="preserve">) u dokumentu </w:t>
      </w:r>
      <w:r w:rsidRPr="00672A51">
        <w:rPr>
          <w:b/>
          <w:i/>
          <w:color w:val="000000"/>
        </w:rPr>
        <w:t xml:space="preserve"> Smjernice o transparentnosti savjetuju sljedeće:</w:t>
      </w:r>
    </w:p>
    <w:p w14:paraId="4FB39DD9" w14:textId="77777777" w:rsidR="00823FAF" w:rsidRPr="009509B6" w:rsidRDefault="00823FAF" w:rsidP="00823FAF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38BB6413" w14:textId="77777777" w:rsidR="00823FAF" w:rsidRPr="00672A51" w:rsidRDefault="00823FAF" w:rsidP="00823FAF">
      <w:pPr>
        <w:spacing w:after="120"/>
        <w:rPr>
          <w:color w:val="000000"/>
        </w:rPr>
      </w:pPr>
      <w:r>
        <w:rPr>
          <w:color w:val="000000"/>
        </w:rPr>
        <w:t xml:space="preserve">Definiran je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 xml:space="preserve">interesa </w:t>
      </w:r>
      <w:r>
        <w:rPr>
          <w:color w:val="000000"/>
        </w:rPr>
        <w:t>koji</w:t>
      </w:r>
      <w:r w:rsidRPr="00672A51">
        <w:rPr>
          <w:color w:val="000000"/>
        </w:rPr>
        <w:t xml:space="preserve">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07FB095E" w14:textId="77777777" w:rsidR="00823FAF" w:rsidRPr="00672A51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44A3142B" w14:textId="77777777" w:rsidR="00823FAF" w:rsidRPr="00672A51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F49983A" w14:textId="77777777" w:rsidR="00823FAF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bookmarkEnd w:id="0"/>
    <w:p w14:paraId="560CE30B" w14:textId="1878928F" w:rsidR="00035352" w:rsidRPr="009509B6" w:rsidRDefault="00672A51" w:rsidP="00035352">
      <w:pPr>
        <w:pStyle w:val="Heading2"/>
      </w:pPr>
      <w:r>
        <w:t xml:space="preserve">Svrha </w:t>
      </w:r>
    </w:p>
    <w:p w14:paraId="52D3E0A1" w14:textId="77777777" w:rsidR="00823FAF" w:rsidRPr="00672A51" w:rsidRDefault="00823FAF" w:rsidP="00823FAF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255D5635" w14:textId="77777777" w:rsidR="00823FAF" w:rsidRDefault="00823FAF" w:rsidP="00823FAF">
      <w:pPr>
        <w:jc w:val="both"/>
      </w:pPr>
      <w:r w:rsidRPr="00672A51">
        <w:t xml:space="preserve">U ovoj fazi </w:t>
      </w:r>
      <w:r>
        <w:t xml:space="preserve">će se </w:t>
      </w:r>
      <w:r w:rsidRPr="00672A51">
        <w:t>zabilježiti sv</w:t>
      </w:r>
      <w:r>
        <w:t>i</w:t>
      </w:r>
      <w:r w:rsidRPr="00672A51">
        <w:t xml:space="preserve"> identificiran</w:t>
      </w:r>
      <w:r>
        <w:t>i</w:t>
      </w:r>
      <w:r w:rsidRPr="00672A51">
        <w:t xml:space="preserve"> interes</w:t>
      </w:r>
      <w:r>
        <w:t>i,</w:t>
      </w:r>
      <w:r w:rsidRPr="00672A51">
        <w:t xml:space="preserve">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 xml:space="preserve">ili interesi trećih strana, komercijalni interesi kao i šire </w:t>
      </w:r>
      <w:r w:rsidRPr="00672A51">
        <w:lastRenderedPageBreak/>
        <w:t>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2D686417" w14:textId="77777777" w:rsidR="00823FAF" w:rsidRPr="00672A51" w:rsidRDefault="00823FAF" w:rsidP="00823FAF">
      <w:pPr>
        <w:jc w:val="both"/>
        <w:rPr>
          <w:color w:val="000000"/>
        </w:rPr>
      </w:pPr>
      <w:r>
        <w:rPr>
          <w:b/>
          <w:i/>
          <w:color w:val="000000"/>
        </w:rPr>
        <w:t>Ob</w:t>
      </w:r>
      <w:r w:rsidRPr="00672A51">
        <w:rPr>
          <w:b/>
          <w:i/>
          <w:color w:val="000000"/>
        </w:rPr>
        <w:t>rada mora biti ciljani i proporcionalan način za postizanje vaše svrhe</w:t>
      </w:r>
      <w:r w:rsidRPr="00672A51">
        <w:rPr>
          <w:color w:val="000000"/>
        </w:rPr>
        <w:t xml:space="preserve">. </w:t>
      </w:r>
      <w:r>
        <w:rPr>
          <w:color w:val="000000"/>
        </w:rPr>
        <w:t>Potrebno je r</w:t>
      </w:r>
      <w:r w:rsidRPr="00672A51">
        <w:rPr>
          <w:color w:val="000000"/>
        </w:rPr>
        <w:t>azmotrit</w:t>
      </w:r>
      <w:r>
        <w:rPr>
          <w:color w:val="000000"/>
        </w:rPr>
        <w:t>i</w:t>
      </w:r>
      <w:r w:rsidRPr="00672A51">
        <w:rPr>
          <w:color w:val="000000"/>
        </w:rPr>
        <w:t xml:space="preserve"> interese organizacij</w:t>
      </w:r>
      <w:r>
        <w:rPr>
          <w:color w:val="000000"/>
        </w:rPr>
        <w:t>e</w:t>
      </w:r>
      <w:r w:rsidRPr="00672A51">
        <w:rPr>
          <w:color w:val="000000"/>
        </w:rPr>
        <w:t xml:space="preserve"> koje su zabilježene </w:t>
      </w:r>
      <w:r>
        <w:rPr>
          <w:color w:val="000000"/>
        </w:rPr>
        <w:t xml:space="preserve">u prvoj fazi Svrha kao i </w:t>
      </w:r>
      <w:r w:rsidRPr="00672A51">
        <w:rPr>
          <w:color w:val="000000"/>
        </w:rPr>
        <w:t xml:space="preserve">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18D4940F" w14:textId="77777777" w:rsidR="00823FAF" w:rsidRDefault="00823FAF" w:rsidP="00823FAF">
      <w:pPr>
        <w:rPr>
          <w:color w:val="000000"/>
        </w:rPr>
      </w:pPr>
      <w:r w:rsidRPr="00672A51">
        <w:rPr>
          <w:color w:val="000000"/>
        </w:rPr>
        <w:t xml:space="preserve">Ako </w:t>
      </w:r>
      <w:r>
        <w:rPr>
          <w:color w:val="000000"/>
        </w:rPr>
        <w:t xml:space="preserve">je moguće </w:t>
      </w:r>
      <w:r w:rsidRPr="00672A51">
        <w:rPr>
          <w:color w:val="000000"/>
        </w:rPr>
        <w:t xml:space="preserve">identificirati drugi (manje nametljiv) način postizanja istog cilja ili interesa (ili odrediti da obrada nije potrebna), tada se </w:t>
      </w:r>
      <w:r>
        <w:rPr>
          <w:color w:val="000000"/>
        </w:rPr>
        <w:t xml:space="preserve">ANO d.o.o. </w:t>
      </w:r>
      <w:r w:rsidRPr="00672A51">
        <w:rPr>
          <w:b/>
          <w:color w:val="000000"/>
        </w:rPr>
        <w:t>ne</w:t>
      </w:r>
      <w:r>
        <w:rPr>
          <w:b/>
          <w:color w:val="000000"/>
        </w:rPr>
        <w:t>će</w:t>
      </w:r>
      <w:r w:rsidRPr="00672A51">
        <w:rPr>
          <w:color w:val="000000"/>
        </w:rPr>
        <w:t xml:space="preserve">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3A66ABBB" w14:textId="77777777" w:rsidR="00823FAF" w:rsidRPr="00672A51" w:rsidRDefault="00823FAF" w:rsidP="00823FAF">
      <w:pPr>
        <w:jc w:val="both"/>
        <w:rPr>
          <w:color w:val="000000"/>
        </w:rPr>
      </w:pPr>
      <w:r w:rsidRPr="00672A51">
        <w:rPr>
          <w:color w:val="000000"/>
        </w:rPr>
        <w:t>Posljednja faza procjene legitimn</w:t>
      </w:r>
      <w:r>
        <w:rPr>
          <w:color w:val="000000"/>
        </w:rPr>
        <w:t>og</w:t>
      </w:r>
      <w:r w:rsidRPr="00672A51">
        <w:rPr>
          <w:color w:val="000000"/>
        </w:rPr>
        <w:t xml:space="preserve"> interesa (LIA) je izjednačavanje obrade s interesima, pravima i slobodama pojedinca. To znači dokumentiranje i prikazivanje procjene tih prava i sloboda i osiguravanje da interesi pojedinca ne nadmaše interes upravljača.</w:t>
      </w:r>
    </w:p>
    <w:p w14:paraId="0FD6EBBE" w14:textId="77777777" w:rsidR="00823FAF" w:rsidRDefault="00823FAF" w:rsidP="00823FAF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4786489F" w14:textId="77777777" w:rsidR="00823FAF" w:rsidRPr="00672A51" w:rsidRDefault="00823FAF" w:rsidP="00F43F09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obradu. Pitanja u procjeni nisu iscrpna</w:t>
      </w:r>
      <w:r>
        <w:t xml:space="preserve">, pa će ANO d.o.o. </w:t>
      </w:r>
      <w:r w:rsidRPr="00672A51">
        <w:t>upotrijebiti svoju stručnost, poslovno znanje i vlastitu prosudbu kako bi</w:t>
      </w:r>
      <w:r>
        <w:t xml:space="preserve"> </w:t>
      </w:r>
      <w:r w:rsidRPr="00672A51">
        <w:t>se donijel</w:t>
      </w:r>
      <w:r>
        <w:t>a</w:t>
      </w:r>
      <w:r w:rsidRPr="00672A51">
        <w:t xml:space="preserve"> informiran</w:t>
      </w:r>
      <w:r>
        <w:t>a</w:t>
      </w:r>
      <w:r w:rsidRPr="00672A51">
        <w:t xml:space="preserve"> odluk</w:t>
      </w:r>
      <w:r>
        <w:t>a</w:t>
      </w:r>
      <w:r w:rsidRPr="00672A51">
        <w:t xml:space="preserve">. Također </w:t>
      </w:r>
      <w:r>
        <w:t xml:space="preserve">će se po potrebi ovaj dokument prilagođavati u ovisnosti o </w:t>
      </w:r>
      <w:r w:rsidRPr="00672A51">
        <w:t>aktivnosti obrade i vrsti poslovanja.</w:t>
      </w:r>
    </w:p>
    <w:p w14:paraId="059CD814" w14:textId="6D1A2259" w:rsidR="00823FAF" w:rsidRDefault="00823FAF" w:rsidP="00823FAF">
      <w:pPr>
        <w:jc w:val="both"/>
      </w:pPr>
      <w:r>
        <w:t xml:space="preserve">Nakon što se dovrši ova </w:t>
      </w:r>
      <w:r w:rsidRPr="00672A51">
        <w:t xml:space="preserve">procjenu za aktivnost obrade </w:t>
      </w:r>
      <w:r>
        <w:t xml:space="preserve">vezanu uz legitimni interes, potrebno je </w:t>
      </w:r>
      <w:r w:rsidRPr="00672A51">
        <w:t>osigurati da se ona povremeno pregledava</w:t>
      </w:r>
      <w:r>
        <w:t xml:space="preserve">, minimalno jednom godišnje, </w:t>
      </w:r>
      <w:r w:rsidRPr="00672A51">
        <w:t xml:space="preserve">kao i ako je došlo do promjena interesa, svrhe obrade ili bilo kojeg faktora koji bi mogli promijeniti ishod procjene. LIA </w:t>
      </w:r>
      <w:r>
        <w:t xml:space="preserve">će se </w:t>
      </w:r>
      <w:r w:rsidRPr="00672A51">
        <w:t>dovršiti u skladu s GDPR načelima, načelom odgovornosti i zahtjevima Uredbe.</w:t>
      </w:r>
    </w:p>
    <w:p w14:paraId="1EA49B2F" w14:textId="77777777" w:rsidR="00823FAF" w:rsidRDefault="00823FAF" w:rsidP="00823FA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452"/>
        <w:gridCol w:w="4756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356EE1" w:rsidRPr="009509B6" w14:paraId="3D4E419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5308C4C" w14:textId="0A3845B3" w:rsidR="00356EE1" w:rsidRPr="00356EE1" w:rsidRDefault="00356EE1" w:rsidP="00356EE1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756" w:type="dxa"/>
          </w:tcPr>
          <w:p w14:paraId="3950BA62" w14:textId="77777777" w:rsidR="00356EE1" w:rsidRDefault="0051383F" w:rsidP="00356EE1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 xml:space="preserve">Voditelj obrade organizira događanje na koje planira pozvati svoje klijente s kojima posluje dug niz godina. Na samom događanju angažiran je profesionalni fotograf koji će raditi bilo grupne bilo fotografije sudionika izbliza. Neće se svi sudionici fotografirati izbliza a oni koji hoće, naravno ukoliko to žele, mogu dati svoju privolu za </w:t>
            </w:r>
            <w:r>
              <w:rPr>
                <w:sz w:val="22"/>
              </w:rPr>
              <w:lastRenderedPageBreak/>
              <w:t xml:space="preserve">obradu takvih fotografija. Privola za takvu objavu nije predmet ovog dokumenta. </w:t>
            </w:r>
          </w:p>
          <w:p w14:paraId="1094AA5D" w14:textId="77777777" w:rsidR="0051383F" w:rsidRPr="0051383F" w:rsidRDefault="0051383F" w:rsidP="0051383F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  <w:lang w:val="en-CA"/>
              </w:rPr>
            </w:pPr>
            <w:r w:rsidRPr="0051383F">
              <w:rPr>
                <w:sz w:val="22"/>
              </w:rPr>
              <w:t>Osobe koje su pozvane na događanje unaprijed će biti obaviještene o namjeri fotografiranja a razumno je da to mogu i očekivati. U obavijesti će biti detaljnije informacije o:</w:t>
            </w:r>
          </w:p>
          <w:p w14:paraId="0E0E71C5" w14:textId="74F71EBC" w:rsidR="0051383F" w:rsidRPr="0051383F" w:rsidRDefault="0051383F" w:rsidP="0051383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cs="Calibri"/>
                <w:color w:val="000000"/>
                <w:sz w:val="22"/>
                <w:szCs w:val="22"/>
                <w:lang w:val="en-CA"/>
              </w:rPr>
            </w:pPr>
            <w:r w:rsidRPr="0051383F">
              <w:rPr>
                <w:sz w:val="22"/>
              </w:rPr>
              <w:t>i</w:t>
            </w:r>
            <w:r w:rsidRPr="0051383F">
              <w:rPr>
                <w:rFonts w:cs="Calibri"/>
                <w:color w:val="000000"/>
                <w:sz w:val="22"/>
                <w:szCs w:val="22"/>
              </w:rPr>
              <w:t>dentitet</w:t>
            </w:r>
            <w:r>
              <w:rPr>
                <w:rFonts w:cs="Calibri"/>
                <w:color w:val="000000"/>
                <w:sz w:val="22"/>
                <w:szCs w:val="22"/>
              </w:rPr>
              <w:t>u</w:t>
            </w:r>
            <w:r w:rsidRPr="0051383F">
              <w:rPr>
                <w:rFonts w:cs="Calibri"/>
                <w:color w:val="000000"/>
                <w:sz w:val="22"/>
                <w:szCs w:val="22"/>
              </w:rPr>
              <w:t xml:space="preserve"> i kontaktn</w:t>
            </w:r>
            <w:r>
              <w:rPr>
                <w:rFonts w:cs="Calibri"/>
                <w:color w:val="000000"/>
                <w:sz w:val="22"/>
                <w:szCs w:val="22"/>
              </w:rPr>
              <w:t>im</w:t>
            </w:r>
            <w:r w:rsidRPr="0051383F">
              <w:rPr>
                <w:rFonts w:cs="Calibri"/>
                <w:color w:val="000000"/>
                <w:sz w:val="22"/>
                <w:szCs w:val="22"/>
              </w:rPr>
              <w:t xml:space="preserve"> poda</w:t>
            </w:r>
            <w:r>
              <w:rPr>
                <w:rFonts w:cs="Calibri"/>
                <w:color w:val="000000"/>
                <w:sz w:val="22"/>
                <w:szCs w:val="22"/>
              </w:rPr>
              <w:t>cima</w:t>
            </w:r>
            <w:r w:rsidRPr="0051383F">
              <w:rPr>
                <w:rFonts w:cs="Calibri"/>
                <w:color w:val="000000"/>
                <w:sz w:val="22"/>
                <w:szCs w:val="22"/>
              </w:rPr>
              <w:t xml:space="preserve"> voditelja obrade</w:t>
            </w:r>
          </w:p>
          <w:p w14:paraId="5B2F51BB" w14:textId="1BAD08F9" w:rsidR="0051383F" w:rsidRDefault="0051383F" w:rsidP="0051383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kontaktni podaci DPO-a</w:t>
            </w:r>
          </w:p>
          <w:p w14:paraId="6565F4AF" w14:textId="77777777" w:rsidR="0051383F" w:rsidRDefault="0051383F" w:rsidP="0051383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svrsi obrade radi kojih se upotrebljavaju osobni podaci kao i pravnu osnovu za obradu</w:t>
            </w:r>
          </w:p>
          <w:p w14:paraId="4E641172" w14:textId="78749B97" w:rsidR="0051383F" w:rsidRDefault="003C38D0" w:rsidP="0051383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informacije o eventualnom p</w:t>
            </w:r>
            <w:r w:rsidR="0051383F">
              <w:rPr>
                <w:rFonts w:cs="Calibri"/>
                <w:color w:val="000000"/>
                <w:sz w:val="22"/>
                <w:szCs w:val="22"/>
              </w:rPr>
              <w:t>lanira</w:t>
            </w:r>
            <w:r>
              <w:rPr>
                <w:rFonts w:cs="Calibri"/>
                <w:color w:val="000000"/>
                <w:sz w:val="22"/>
                <w:szCs w:val="22"/>
              </w:rPr>
              <w:t>nom prijenosu</w:t>
            </w:r>
            <w:r w:rsidR="0051383F">
              <w:rPr>
                <w:rFonts w:cs="Calibri"/>
                <w:color w:val="000000"/>
                <w:sz w:val="22"/>
                <w:szCs w:val="22"/>
              </w:rPr>
              <w:t xml:space="preserve"> osobn</w:t>
            </w:r>
            <w:r>
              <w:rPr>
                <w:rFonts w:cs="Calibri"/>
                <w:color w:val="000000"/>
                <w:sz w:val="22"/>
                <w:szCs w:val="22"/>
              </w:rPr>
              <w:t>ih</w:t>
            </w:r>
            <w:r w:rsidR="0051383F">
              <w:rPr>
                <w:rFonts w:cs="Calibri"/>
                <w:color w:val="000000"/>
                <w:sz w:val="22"/>
                <w:szCs w:val="22"/>
              </w:rPr>
              <w:t xml:space="preserve"> podat</w:t>
            </w:r>
            <w:r>
              <w:rPr>
                <w:rFonts w:cs="Calibri"/>
                <w:color w:val="000000"/>
                <w:sz w:val="22"/>
                <w:szCs w:val="22"/>
              </w:rPr>
              <w:t>a</w:t>
            </w:r>
            <w:r w:rsidR="0051383F">
              <w:rPr>
                <w:rFonts w:cs="Calibri"/>
                <w:color w:val="000000"/>
                <w:sz w:val="22"/>
                <w:szCs w:val="22"/>
              </w:rPr>
              <w:t>k</w:t>
            </w:r>
            <w:r>
              <w:rPr>
                <w:rFonts w:cs="Calibri"/>
                <w:color w:val="000000"/>
                <w:sz w:val="22"/>
                <w:szCs w:val="22"/>
              </w:rPr>
              <w:t>a</w:t>
            </w:r>
            <w:r w:rsidR="0051383F">
              <w:rPr>
                <w:rFonts w:cs="Calibri"/>
                <w:color w:val="000000"/>
                <w:sz w:val="22"/>
                <w:szCs w:val="22"/>
              </w:rPr>
              <w:t xml:space="preserve"> trećoj zemlji ili međunarodnoj organizaciji</w:t>
            </w:r>
            <w:r>
              <w:rPr>
                <w:rFonts w:cs="Calibri"/>
                <w:color w:val="000000"/>
                <w:sz w:val="22"/>
                <w:szCs w:val="22"/>
              </w:rPr>
              <w:t>;</w:t>
            </w:r>
          </w:p>
          <w:p w14:paraId="6FFE283D" w14:textId="77777777" w:rsidR="0051383F" w:rsidRDefault="0051383F" w:rsidP="0051383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contextualSpacing w:val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razdoblje u kojem će osobni podaci biti pohranjeni ili, ako to nije moguće, kriterije kojima se utvrđuje to razdoblje;</w:t>
            </w:r>
          </w:p>
          <w:p w14:paraId="045AB210" w14:textId="77777777" w:rsidR="0051383F" w:rsidRDefault="0051383F" w:rsidP="0051383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contextualSpacing w:val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postojanje prava da se od voditelja obrade zatraži pristup osobnim podacima i ispravak ili brisanje osobnih podataka ili ograničavanje obrade ili prava na ulaganje prigovora na obradu takvih te prava na prenosivost podataka;</w:t>
            </w:r>
          </w:p>
          <w:p w14:paraId="266DB3B4" w14:textId="77777777" w:rsidR="0051383F" w:rsidRDefault="0051383F" w:rsidP="0051383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contextualSpacing w:val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pravo na podnošenje prigovora nadzornom tijelu;</w:t>
            </w:r>
          </w:p>
          <w:p w14:paraId="42832C7B" w14:textId="0B28A3F5" w:rsidR="0051383F" w:rsidRPr="00823FAF" w:rsidRDefault="003C38D0" w:rsidP="003C38D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</w:t>
            </w:r>
            <w:r w:rsidR="0051383F" w:rsidRPr="0051383F">
              <w:rPr>
                <w:sz w:val="22"/>
              </w:rPr>
              <w:t xml:space="preserve">a </w:t>
            </w:r>
            <w:r>
              <w:rPr>
                <w:sz w:val="22"/>
              </w:rPr>
              <w:t>ovom</w:t>
            </w:r>
            <w:r w:rsidR="0051383F" w:rsidRPr="0051383F">
              <w:rPr>
                <w:sz w:val="22"/>
              </w:rPr>
              <w:t xml:space="preserve"> događanj</w:t>
            </w:r>
            <w:r>
              <w:rPr>
                <w:sz w:val="22"/>
              </w:rPr>
              <w:t>u,</w:t>
            </w:r>
            <w:r w:rsidR="0051383F" w:rsidRPr="0051383F">
              <w:rPr>
                <w:sz w:val="22"/>
              </w:rPr>
              <w:t xml:space="preserve"> u vrijeme i u kontekstu prikupljanja osobnih podataka razumno </w:t>
            </w:r>
            <w:r>
              <w:rPr>
                <w:sz w:val="22"/>
              </w:rPr>
              <w:t xml:space="preserve">je </w:t>
            </w:r>
            <w:r w:rsidR="0051383F" w:rsidRPr="0051383F">
              <w:rPr>
                <w:sz w:val="22"/>
              </w:rPr>
              <w:t>očekivati obradu u svrhu objave web stranicama i društvenim mrežama. Interesi i temeljna prava sudionika događanja</w:t>
            </w:r>
            <w:r>
              <w:rPr>
                <w:sz w:val="22"/>
              </w:rPr>
              <w:t xml:space="preserve"> su zaštićeni jer se osobni podaci neće koristiti za druge svrhe osim svrhe objave na web stranicama ANO d.o.o. i/ili na društvenim stranicama ANO d.o.o.</w:t>
            </w:r>
          </w:p>
        </w:tc>
      </w:tr>
      <w:tr w:rsidR="00356EE1" w:rsidRPr="009509B6" w14:paraId="0C111A73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lastRenderedPageBreak/>
              <w:t>1.2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21F265A" w14:textId="00D93284" w:rsidR="00356EE1" w:rsidRPr="007813D8" w:rsidRDefault="00C82FCA" w:rsidP="00356EE1">
            <w:pPr>
              <w:spacing w:before="60" w:after="60" w:line="240" w:lineRule="auto"/>
            </w:pPr>
            <w:r>
              <w:t>J</w:t>
            </w:r>
            <w:r w:rsidR="00356EE1" w:rsidRPr="00356EE1">
              <w:t>e li obrada nužna za postizanje poslovnih ciljeva voditelja obrade?</w:t>
            </w:r>
          </w:p>
        </w:tc>
        <w:tc>
          <w:tcPr>
            <w:tcW w:w="4756" w:type="dxa"/>
          </w:tcPr>
          <w:p w14:paraId="700F0A75" w14:textId="6B93C26A" w:rsidR="003C38D0" w:rsidRPr="00823FAF" w:rsidRDefault="00C82FCA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Da</w:t>
            </w:r>
            <w:r w:rsidR="00645EEF" w:rsidRPr="00823FAF">
              <w:rPr>
                <w:sz w:val="22"/>
              </w:rPr>
              <w:t xml:space="preserve">. </w:t>
            </w:r>
            <w:r w:rsidR="003C38D0">
              <w:rPr>
                <w:sz w:val="22"/>
              </w:rPr>
              <w:t>Voditelju obrade je iznimno važno da na događaj dođu osobe koje su pozvane jer na taj način pokazuju svoj uspjeh koji se temelji na suradnji s poslovnim partnerima. Događanje je svečano te će voditelj obrade osigurati poklone i nagrade za sudionike – zaslužne poslovne partnere. Događaj se planira provesti u skladu s važećim mjerama zaštite od Covid-19 pandemije te je i u tom kontekstu voditelju obrade važno da pokaže kako unatoč pandemiju i općem padu poslovnih aktivnosti, zadržava stabilnu poziciju koje je u poslovnom okruženju u kojem posluje voditelj obrade jako značajna. Unatoč mogućnosti organiziranja virtualnih događaja, voditelj obrade smatra da takva mogućnost nikako ne može nadoknaditi direktan poslovni odnos koji gaje i na kojem temelje svoj poslovni uspjeh.</w:t>
            </w:r>
          </w:p>
        </w:tc>
      </w:tr>
      <w:tr w:rsidR="00356EE1" w:rsidRPr="009509B6" w14:paraId="778146BD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lastRenderedPageBreak/>
              <w:t>1.3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6B36696" w14:textId="60AD567C" w:rsidR="00356EE1" w:rsidRPr="00823FAF" w:rsidRDefault="00356EE1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Tko ima koristi od obrade? (tj. širi društveni interesi, kontrolor, treća strana itd.)</w:t>
            </w:r>
          </w:p>
        </w:tc>
        <w:tc>
          <w:tcPr>
            <w:tcW w:w="4756" w:type="dxa"/>
          </w:tcPr>
          <w:p w14:paraId="5B7375F6" w14:textId="1D4338AA" w:rsidR="00356EE1" w:rsidRPr="009509B6" w:rsidRDefault="00645EEF" w:rsidP="00356EE1">
            <w:pPr>
              <w:spacing w:before="60" w:after="60" w:line="240" w:lineRule="auto"/>
            </w:pPr>
            <w:r>
              <w:t>Voditelj obrade, ispitani</w:t>
            </w:r>
            <w:r w:rsidR="003C38D0">
              <w:t>ci, partneri iz osiguravajućih društava, zainteresirane tvrtke (na ovom tržištu je iznimno važno pokazati stabilnost i sigurnost što je garancija i ostalim tvrtkama koje posluju ali i ne moraju poslovati s voditeljem obrade).</w:t>
            </w:r>
          </w:p>
        </w:tc>
      </w:tr>
      <w:tr w:rsidR="00356EE1" w:rsidRPr="009509B6" w14:paraId="73E910CC" w14:textId="77777777" w:rsidTr="00823FAF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837B374" w14:textId="334FBC7D" w:rsidR="00356EE1" w:rsidRPr="00823FAF" w:rsidRDefault="00356EE1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756" w:type="dxa"/>
          </w:tcPr>
          <w:p w14:paraId="3BEC50EB" w14:textId="4FADB44A" w:rsidR="00356EE1" w:rsidRPr="009509B6" w:rsidRDefault="00645EEF" w:rsidP="00356EE1">
            <w:pPr>
              <w:spacing w:before="60" w:after="60" w:line="240" w:lineRule="auto"/>
            </w:pPr>
            <w:r>
              <w:t>Ne, podaci se ne dostavljaju trećoj strani.</w:t>
            </w:r>
          </w:p>
        </w:tc>
      </w:tr>
      <w:tr w:rsidR="00356EE1" w:rsidRPr="009509B6" w14:paraId="21F1273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07EC434B" w14:textId="50F0BE6E" w:rsidR="00356EE1" w:rsidRPr="007813D8" w:rsidRDefault="00356EE1" w:rsidP="00356EE1">
            <w:pPr>
              <w:spacing w:before="60" w:after="60" w:line="240" w:lineRule="auto"/>
            </w:pPr>
            <w:r w:rsidRPr="007813D8">
              <w:t>Jes</w:t>
            </w:r>
            <w:r w:rsidR="00823FAF">
              <w:t>u</w:t>
            </w:r>
            <w:r w:rsidRPr="007813D8">
              <w:t xml:space="preserve"> li utvr</w:t>
            </w:r>
            <w:r w:rsidR="00823FAF">
              <w:t xml:space="preserve">đeni </w:t>
            </w:r>
            <w:r w:rsidRPr="007813D8">
              <w:t>relevantn</w:t>
            </w:r>
            <w:r w:rsidR="00823FAF">
              <w:t>i</w:t>
            </w:r>
            <w:r w:rsidRPr="007813D8">
              <w:t xml:space="preserve"> legitimne interese? Ako da, koji su to?</w:t>
            </w:r>
          </w:p>
        </w:tc>
        <w:tc>
          <w:tcPr>
            <w:tcW w:w="4756" w:type="dxa"/>
          </w:tcPr>
          <w:p w14:paraId="0DDE3DAF" w14:textId="0A97C0B8" w:rsidR="00356EE1" w:rsidRPr="00823FAF" w:rsidRDefault="003C38D0" w:rsidP="00356EE1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 xml:space="preserve">Legitiman interes voditelja obrade je fotografiranje sudionika događaja koje organiziraju u svrhu promocije, druženja i jačanja poslovnih poslovnih kontakata. Sudionici se na ovakvim skupovima </w:t>
            </w:r>
            <w:r w:rsidR="009E2482">
              <w:rPr>
                <w:sz w:val="22"/>
              </w:rPr>
              <w:t>umrežavaju i njihov interes se ogleda u tome da su prisutni na takvom skupu te viđeni u društvu voditelja obrade kao i ostalih poslovnih partnera.</w:t>
            </w:r>
          </w:p>
        </w:tc>
      </w:tr>
      <w:tr w:rsidR="00356EE1" w:rsidRPr="009509B6" w14:paraId="3D1E2F6E" w14:textId="77777777" w:rsidTr="00823FAF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0E9551E" w14:textId="4129760B" w:rsidR="00356EE1" w:rsidRPr="00823FAF" w:rsidRDefault="00356EE1" w:rsidP="00356EE1">
            <w:pPr>
              <w:spacing w:before="60" w:after="60" w:line="240" w:lineRule="auto"/>
              <w:rPr>
                <w:b/>
                <w:i/>
                <w:sz w:val="22"/>
              </w:rPr>
            </w:pPr>
            <w:r w:rsidRPr="00823FAF">
              <w:rPr>
                <w:sz w:val="22"/>
              </w:rPr>
              <w:t>Je li predmetna obrada Uredbom ili nacionalnim zakonima definirana kao legitimni interes voditelja obrade?</w:t>
            </w:r>
          </w:p>
        </w:tc>
        <w:tc>
          <w:tcPr>
            <w:tcW w:w="4756" w:type="dxa"/>
          </w:tcPr>
          <w:p w14:paraId="22735204" w14:textId="69E7F9D7" w:rsidR="00356EE1" w:rsidRPr="00823FAF" w:rsidRDefault="00645EEF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 xml:space="preserve">Nije. Fotografiranje </w:t>
            </w:r>
            <w:r w:rsidR="009E2482">
              <w:rPr>
                <w:sz w:val="22"/>
              </w:rPr>
              <w:t>sudionika skupa nije definirano.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</w:tcPr>
          <w:p w14:paraId="5FB9B94B" w14:textId="77777777" w:rsidR="00356EE1" w:rsidRDefault="00300E10" w:rsidP="00356EE1">
            <w:pPr>
              <w:spacing w:before="20" w:after="20" w:line="240" w:lineRule="auto"/>
              <w:rPr>
                <w:b/>
                <w:color w:val="FF0000"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589560A1" w14:textId="77777777" w:rsidR="009E2482" w:rsidRDefault="009E2482" w:rsidP="00356EE1">
            <w:pPr>
              <w:spacing w:before="20" w:after="20" w:line="240" w:lineRule="auto"/>
              <w:rPr>
                <w:b/>
                <w:color w:val="FF0000"/>
                <w:sz w:val="32"/>
              </w:rPr>
            </w:pPr>
          </w:p>
          <w:p w14:paraId="3FFCB82D" w14:textId="73066D20" w:rsidR="009E2482" w:rsidRPr="00823FAF" w:rsidRDefault="009E2482" w:rsidP="00356EE1">
            <w:pPr>
              <w:spacing w:before="20" w:after="20" w:line="240" w:lineRule="auto"/>
              <w:rPr>
                <w:b/>
                <w:sz w:val="32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823FA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645EEF" w:rsidRPr="009509B6" w14:paraId="1545981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49E4955" w14:textId="220182CC" w:rsidR="00645EEF" w:rsidRPr="009509B6" w:rsidRDefault="00645EEF" w:rsidP="00645EEF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756" w:type="dxa"/>
          </w:tcPr>
          <w:p w14:paraId="27702B9B" w14:textId="59C749CA" w:rsidR="00645EEF" w:rsidRPr="009509B6" w:rsidRDefault="00645EEF" w:rsidP="00645EEF">
            <w:pPr>
              <w:spacing w:before="60" w:after="60" w:line="240" w:lineRule="auto"/>
            </w:pPr>
            <w:r>
              <w:t>Ne, ne postoji primjerenije, manje invazivno tehničko rješenje za postizanje svrhe obrade</w:t>
            </w:r>
          </w:p>
        </w:tc>
      </w:tr>
      <w:tr w:rsidR="00645EEF" w:rsidRPr="009509B6" w14:paraId="38402684" w14:textId="77777777" w:rsidTr="00823FAF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4DFF12E" w14:textId="78CAA0FA" w:rsidR="00645EEF" w:rsidRPr="009509B6" w:rsidRDefault="00645EEF" w:rsidP="00645EEF">
            <w:pPr>
              <w:spacing w:before="60" w:after="60" w:line="240" w:lineRule="auto"/>
            </w:pPr>
            <w:r w:rsidRPr="002D40E0">
              <w:t>Zašto je obrada potrebna za postizanje interesa / ciljeva</w:t>
            </w:r>
            <w:r w:rsidR="009E2482">
              <w:t xml:space="preserve"> voditelja obrade</w:t>
            </w:r>
            <w:r w:rsidRPr="002D40E0">
              <w:t>?</w:t>
            </w:r>
          </w:p>
        </w:tc>
        <w:tc>
          <w:tcPr>
            <w:tcW w:w="4756" w:type="dxa"/>
          </w:tcPr>
          <w:p w14:paraId="7E345224" w14:textId="72C5E836" w:rsidR="00645EEF" w:rsidRPr="009509B6" w:rsidRDefault="009E2482" w:rsidP="00645EEF">
            <w:pPr>
              <w:spacing w:before="60" w:after="60" w:line="240" w:lineRule="auto"/>
            </w:pPr>
            <w:r>
              <w:t>Voditelju obrade je važno fotografirati sudionike skupa te objaviti grupne fotografije jer na taj način stvara dobru promociju vlastitog poslovnog uspjeha, pridobija nove klijente, te stvara i potiče pozitivnu atmosferu između djelatnika i poslovnih partnera</w:t>
            </w:r>
          </w:p>
        </w:tc>
      </w:tr>
      <w:tr w:rsidR="00645EEF" w:rsidRPr="009509B6" w14:paraId="2BD712B7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BB12EF1" w14:textId="4E6BC84C" w:rsidR="00645EEF" w:rsidRPr="009509B6" w:rsidRDefault="00645EEF" w:rsidP="00645EEF">
            <w:pPr>
              <w:spacing w:before="60" w:after="60" w:line="240" w:lineRule="auto"/>
            </w:pPr>
            <w:r w:rsidRPr="002D40E0">
              <w:t>Je li legitimni interes ciljan i proporcionalan način postizanja cilja</w:t>
            </w:r>
            <w:r w:rsidR="009E2482">
              <w:t xml:space="preserve"> voditelja obrade</w:t>
            </w:r>
            <w:r w:rsidRPr="002D40E0">
              <w:t>?</w:t>
            </w:r>
          </w:p>
        </w:tc>
        <w:tc>
          <w:tcPr>
            <w:tcW w:w="4756" w:type="dxa"/>
          </w:tcPr>
          <w:p w14:paraId="47629410" w14:textId="3CD14CD0" w:rsidR="00645EEF" w:rsidRPr="009509B6" w:rsidRDefault="00645EEF" w:rsidP="00645EEF">
            <w:pPr>
              <w:spacing w:before="60" w:after="60" w:line="240" w:lineRule="auto"/>
            </w:pPr>
            <w:r>
              <w:t xml:space="preserve">Da, </w:t>
            </w:r>
            <w:r w:rsidR="009E2482">
              <w:t>troškovi organiziranja događaja</w:t>
            </w:r>
            <w:r>
              <w:t xml:space="preserve"> opravdava</w:t>
            </w:r>
            <w:r w:rsidR="009E2482">
              <w:t>ju</w:t>
            </w:r>
            <w:r>
              <w:t xml:space="preserve"> legitiman interes.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lastRenderedPageBreak/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645EEF" w:rsidRPr="009509B6" w14:paraId="7D9A23EF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9E38B69" w14:textId="1B6F94AB" w:rsidR="00645EEF" w:rsidRPr="009509B6" w:rsidRDefault="00645EEF" w:rsidP="00645EEF">
            <w:pPr>
              <w:spacing w:before="60" w:after="0" w:line="240" w:lineRule="auto"/>
            </w:pPr>
            <w:r>
              <w:t>Je li ispitanik postojeći klijent ili je na drugi način povezan s tvrtkom? (objasnite)</w:t>
            </w:r>
          </w:p>
        </w:tc>
        <w:tc>
          <w:tcPr>
            <w:tcW w:w="4756" w:type="dxa"/>
          </w:tcPr>
          <w:p w14:paraId="096833DC" w14:textId="311844F8" w:rsidR="00645EEF" w:rsidRPr="009509B6" w:rsidRDefault="00645EEF" w:rsidP="00645EEF">
            <w:pPr>
              <w:spacing w:before="60" w:after="60" w:line="240" w:lineRule="auto"/>
            </w:pPr>
            <w:r>
              <w:t>Ispitani</w:t>
            </w:r>
            <w:r w:rsidR="009E2482">
              <w:t>ci</w:t>
            </w:r>
            <w:r>
              <w:t xml:space="preserve"> </w:t>
            </w:r>
            <w:r w:rsidR="009E2482">
              <w:t xml:space="preserve">su djelatnici </w:t>
            </w:r>
            <w:r>
              <w:t>tvrtke</w:t>
            </w:r>
            <w:r w:rsidR="009E2482">
              <w:t>, poslovni partneri i suradnici</w:t>
            </w:r>
            <w:r>
              <w:t>.</w:t>
            </w:r>
          </w:p>
        </w:tc>
      </w:tr>
      <w:tr w:rsidR="00645EEF" w:rsidRPr="009509B6" w14:paraId="344289A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401F9823" w14:textId="5E8E32A7" w:rsidR="00645EEF" w:rsidRPr="009509B6" w:rsidRDefault="00645EEF" w:rsidP="00645EEF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756" w:type="dxa"/>
          </w:tcPr>
          <w:p w14:paraId="171C5055" w14:textId="6D382F8A" w:rsidR="00645EEF" w:rsidRPr="009509B6" w:rsidRDefault="00645EEF" w:rsidP="00645EEF">
            <w:pPr>
              <w:spacing w:before="60" w:after="60" w:line="240" w:lineRule="auto"/>
            </w:pPr>
            <w:r>
              <w:t>Fotografije</w:t>
            </w:r>
          </w:p>
        </w:tc>
      </w:tr>
      <w:tr w:rsidR="00645EEF" w:rsidRPr="009509B6" w14:paraId="6DDB4F7C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7B8AE98" w14:textId="33FE0941" w:rsidR="00645EEF" w:rsidRPr="00356EE1" w:rsidRDefault="00645EEF" w:rsidP="00645EEF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756" w:type="dxa"/>
          </w:tcPr>
          <w:p w14:paraId="030EE7B2" w14:textId="43756958" w:rsidR="00645EEF" w:rsidRPr="009509B6" w:rsidRDefault="009E2482" w:rsidP="00645EEF">
            <w:pPr>
              <w:spacing w:before="60" w:after="60" w:line="240" w:lineRule="auto"/>
            </w:pPr>
            <w:r>
              <w:t>Ne</w:t>
            </w:r>
            <w:r w:rsidR="009F2CA2">
              <w:t xml:space="preserve">, </w:t>
            </w:r>
            <w:r>
              <w:t xml:space="preserve">iako se </w:t>
            </w:r>
            <w:r w:rsidR="009F2CA2">
              <w:t xml:space="preserve">fotografije </w:t>
            </w:r>
            <w:r>
              <w:t xml:space="preserve">smatraju </w:t>
            </w:r>
            <w:r w:rsidR="009F2CA2">
              <w:t>biometrijski</w:t>
            </w:r>
            <w:r>
              <w:t>m</w:t>
            </w:r>
            <w:r w:rsidR="009F2CA2">
              <w:t xml:space="preserve"> podaci</w:t>
            </w:r>
            <w:r>
              <w:t>ma</w:t>
            </w:r>
            <w:r w:rsidR="009F2CA2">
              <w:t xml:space="preserve">, </w:t>
            </w:r>
            <w:r>
              <w:t>u kontekstu događanja i ovog dokumenta ne snimaju se fotografije iz blizine već se rade grupne</w:t>
            </w:r>
            <w:r w:rsidR="009F2CA2">
              <w:t xml:space="preserve"> fotografij</w:t>
            </w:r>
            <w:r>
              <w:t>a</w:t>
            </w:r>
            <w:r w:rsidR="009F2CA2">
              <w:t xml:space="preserve"> </w:t>
            </w:r>
            <w:r>
              <w:t>koje se objavljuju na web stranicama tvrtke i društvenim mrežama</w:t>
            </w:r>
            <w:r w:rsidR="009F2CA2">
              <w:t>.</w:t>
            </w:r>
          </w:p>
        </w:tc>
      </w:tr>
      <w:tr w:rsidR="00645EEF" w:rsidRPr="009509B6" w14:paraId="0F4054D1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D4C34E0" w14:textId="198BDEDD" w:rsidR="00645EEF" w:rsidRPr="009509B6" w:rsidRDefault="00645EEF" w:rsidP="00645EEF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756" w:type="dxa"/>
          </w:tcPr>
          <w:p w14:paraId="2F95573C" w14:textId="6225DECA" w:rsidR="00645EEF" w:rsidRPr="009509B6" w:rsidRDefault="009F2CA2" w:rsidP="00645EEF">
            <w:pPr>
              <w:spacing w:before="60" w:after="60" w:line="240" w:lineRule="auto"/>
            </w:pPr>
            <w:r>
              <w:t xml:space="preserve">Da, </w:t>
            </w:r>
            <w:r w:rsidR="009E2482">
              <w:t xml:space="preserve">ispitanici su poslovni partneri voditelja obrade i ostvaruju dobar poslovni odnos te se rado fotografiraju s djelatnicima tvrtke i ostalim poslovnim partnerima voditelja obrade. </w:t>
            </w:r>
          </w:p>
        </w:tc>
      </w:tr>
      <w:tr w:rsidR="00645EEF" w:rsidRPr="009509B6" w14:paraId="21E2A5E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935455F" w14:textId="4B3385A8" w:rsidR="00645EEF" w:rsidRPr="009509B6" w:rsidRDefault="00645EEF" w:rsidP="00645EEF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756" w:type="dxa"/>
          </w:tcPr>
          <w:p w14:paraId="7BB32014" w14:textId="7DB1923F" w:rsidR="00645EEF" w:rsidRPr="009509B6" w:rsidRDefault="009F2CA2" w:rsidP="00645EEF">
            <w:pPr>
              <w:spacing w:before="60" w:after="60" w:line="240" w:lineRule="auto"/>
            </w:pPr>
            <w:r>
              <w:t>Ne</w:t>
            </w:r>
          </w:p>
        </w:tc>
      </w:tr>
      <w:tr w:rsidR="00645EEF" w:rsidRPr="009509B6" w14:paraId="20D6719B" w14:textId="77777777" w:rsidTr="00823FAF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1EB1CC90" w14:textId="533F51AE" w:rsidR="00645EEF" w:rsidRPr="009509B6" w:rsidRDefault="00645EEF" w:rsidP="00645EEF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756" w:type="dxa"/>
          </w:tcPr>
          <w:p w14:paraId="26017446" w14:textId="79D035F7" w:rsidR="00645EEF" w:rsidRPr="009509B6" w:rsidRDefault="009F2CA2" w:rsidP="00645EEF">
            <w:pPr>
              <w:spacing w:before="60" w:after="60" w:line="240" w:lineRule="auto"/>
            </w:pPr>
            <w:r>
              <w:t>Ne</w:t>
            </w:r>
          </w:p>
        </w:tc>
      </w:tr>
      <w:tr w:rsidR="00645EEF" w:rsidRPr="009509B6" w14:paraId="671B2E6D" w14:textId="77777777" w:rsidTr="00823FAF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73CEB28" w14:textId="5E495B3F" w:rsidR="00645EEF" w:rsidRPr="009509B6" w:rsidRDefault="00645EEF" w:rsidP="00645EEF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756" w:type="dxa"/>
          </w:tcPr>
          <w:p w14:paraId="371621CB" w14:textId="75AFB0C5" w:rsidR="00645EEF" w:rsidRPr="009509B6" w:rsidRDefault="009F2CA2" w:rsidP="00645EEF">
            <w:pPr>
              <w:spacing w:before="60" w:after="60" w:line="240" w:lineRule="auto"/>
            </w:pPr>
            <w:r>
              <w:t xml:space="preserve">Da, ne postoji drugo adekvatno tehničko sredstvo koje bi omogućilo </w:t>
            </w:r>
            <w:r w:rsidR="009E2482">
              <w:t>kvalitetnije promoviranje voditelja obrade</w:t>
            </w:r>
            <w:r>
              <w:t xml:space="preserve"> </w:t>
            </w:r>
            <w:r w:rsidR="009E2482">
              <w:t>osim fotografija s događaja.</w:t>
            </w:r>
          </w:p>
        </w:tc>
      </w:tr>
      <w:tr w:rsidR="00645EEF" w:rsidRPr="009509B6" w14:paraId="7C1DB6E5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6514E10" w14:textId="66E10E0E" w:rsidR="00645EEF" w:rsidRPr="009509B6" w:rsidRDefault="00645EEF" w:rsidP="00645EEF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756" w:type="dxa"/>
          </w:tcPr>
          <w:p w14:paraId="182C71FD" w14:textId="486F2850" w:rsidR="00645EEF" w:rsidRPr="009509B6" w:rsidRDefault="009E2482" w:rsidP="00645EEF">
            <w:pPr>
              <w:spacing w:before="60" w:after="60" w:line="240" w:lineRule="auto"/>
            </w:pPr>
            <w:r>
              <w:t xml:space="preserve">Prilikom slanja pozivnice za događaj svi ispitanici su obaviješteni o namjeri fotografiranja a </w:t>
            </w:r>
            <w:r w:rsidR="00BC5C69">
              <w:t xml:space="preserve">isto tako na samom događanju je jasno istaknuta obavijest o činjenici da se događanje fotografira. </w:t>
            </w:r>
          </w:p>
        </w:tc>
      </w:tr>
      <w:tr w:rsidR="00645EEF" w:rsidRPr="009509B6" w14:paraId="6B2D2708" w14:textId="77777777" w:rsidTr="00823FAF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EB67F6C" w14:textId="6A3D9C11" w:rsidR="00645EEF" w:rsidRPr="009509B6" w:rsidRDefault="00645EEF" w:rsidP="00645EEF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756" w:type="dxa"/>
          </w:tcPr>
          <w:p w14:paraId="2A431945" w14:textId="0A0DE009" w:rsidR="00645EEF" w:rsidRPr="009509B6" w:rsidRDefault="009F2CA2" w:rsidP="00645EEF">
            <w:pPr>
              <w:spacing w:before="60" w:after="60" w:line="240" w:lineRule="auto"/>
            </w:pPr>
            <w:r>
              <w:t>Ispitanik</w:t>
            </w:r>
          </w:p>
        </w:tc>
      </w:tr>
      <w:tr w:rsidR="009F2CA2" w:rsidRPr="009509B6" w14:paraId="7A1CF0DB" w14:textId="77777777" w:rsidTr="00823FAF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1FC24D3B" w14:textId="69A49C9C" w:rsidR="009F2CA2" w:rsidRPr="009509B6" w:rsidRDefault="009F2CA2" w:rsidP="009F2CA2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756" w:type="dxa"/>
          </w:tcPr>
          <w:p w14:paraId="7C198554" w14:textId="47A2C13C" w:rsidR="009F2CA2" w:rsidRPr="009509B6" w:rsidRDefault="009F2CA2" w:rsidP="009F2CA2">
            <w:pPr>
              <w:spacing w:before="60" w:after="60" w:line="240" w:lineRule="auto"/>
            </w:pPr>
            <w:r>
              <w:t>Nije vjerojatno da će ispitanici uložiti prigovor na predmetnu obradu</w:t>
            </w:r>
          </w:p>
        </w:tc>
      </w:tr>
      <w:tr w:rsidR="009F2CA2" w:rsidRPr="009509B6" w14:paraId="5E6D151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AC27887" w14:textId="534094E7" w:rsidR="009F2CA2" w:rsidRPr="009509B6" w:rsidRDefault="009F2CA2" w:rsidP="009F2CA2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756" w:type="dxa"/>
          </w:tcPr>
          <w:p w14:paraId="1196BA13" w14:textId="7382D171" w:rsidR="009F2CA2" w:rsidRPr="009509B6" w:rsidRDefault="009F2CA2" w:rsidP="009F2CA2">
            <w:pPr>
              <w:spacing w:before="60" w:after="60" w:line="240" w:lineRule="auto"/>
            </w:pPr>
            <w:r>
              <w:t>Ova obrada se ne koristi u svrhu direktnog marketinga</w:t>
            </w:r>
          </w:p>
        </w:tc>
      </w:tr>
      <w:tr w:rsidR="009F2CA2" w:rsidRPr="009509B6" w14:paraId="28A9AEB8" w14:textId="77777777" w:rsidTr="00823FAF">
        <w:tc>
          <w:tcPr>
            <w:tcW w:w="646" w:type="dxa"/>
            <w:shd w:val="clear" w:color="auto" w:fill="B4C6E7" w:themeFill="accent1" w:themeFillTint="66"/>
          </w:tcPr>
          <w:p w14:paraId="48EFF1B5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381888FE" w14:textId="2DDDD20A" w:rsidR="009F2CA2" w:rsidRDefault="009F2CA2" w:rsidP="009F2CA2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756" w:type="dxa"/>
          </w:tcPr>
          <w:p w14:paraId="204C42C1" w14:textId="7CA9DFFF" w:rsidR="009F2CA2" w:rsidRPr="009509B6" w:rsidRDefault="009F2CA2" w:rsidP="009F2CA2">
            <w:pPr>
              <w:spacing w:before="60" w:after="60" w:line="240" w:lineRule="auto"/>
            </w:pPr>
            <w:r>
              <w:t>Na redoviti način, kontaktom prema DPO-u</w:t>
            </w:r>
          </w:p>
        </w:tc>
      </w:tr>
      <w:tr w:rsidR="009F2CA2" w:rsidRPr="009509B6" w14:paraId="0C65B803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2121C4E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5BD49FB2" w14:textId="658E1535" w:rsidR="009F2CA2" w:rsidRDefault="009F2CA2" w:rsidP="009F2CA2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756" w:type="dxa"/>
          </w:tcPr>
          <w:p w14:paraId="06FF54D2" w14:textId="1C0334E5" w:rsidR="009F2CA2" w:rsidRPr="009509B6" w:rsidRDefault="009F2CA2" w:rsidP="009F2CA2">
            <w:pPr>
              <w:spacing w:before="60" w:after="60" w:line="240" w:lineRule="auto"/>
            </w:pPr>
            <w:r>
              <w:t>Obrada nije primjenjiva na ponudu proizvoda ili usluga</w:t>
            </w:r>
          </w:p>
        </w:tc>
      </w:tr>
      <w:tr w:rsidR="009F2CA2" w:rsidRPr="009509B6" w14:paraId="56AD06D8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19AF7AC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111C65BE" w14:textId="27184174" w:rsidR="009F2CA2" w:rsidRDefault="009F2CA2" w:rsidP="009F2CA2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756" w:type="dxa"/>
          </w:tcPr>
          <w:p w14:paraId="0977DEDA" w14:textId="2EDA23ED" w:rsidR="009F2CA2" w:rsidRPr="009509B6" w:rsidRDefault="00BC5C69" w:rsidP="009F2CA2">
            <w:pPr>
              <w:spacing w:before="60" w:after="60" w:line="240" w:lineRule="auto"/>
            </w:pPr>
            <w:r>
              <w:t>Ne</w:t>
            </w:r>
            <w:r w:rsidR="009F2CA2">
              <w:t xml:space="preserve">, ispitanici </w:t>
            </w:r>
            <w:r>
              <w:t>su u pozivnici i na istaknutoj obavijesti na samom događanju informirani o tome da mogu zatražiti da se ne objavljuju fotografije</w:t>
            </w:r>
            <w:r w:rsidR="009F2CA2">
              <w:t>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1011" w14:textId="77777777" w:rsidR="00FC548E" w:rsidRDefault="00FC548E" w:rsidP="00FC27F1">
      <w:pPr>
        <w:spacing w:after="0" w:line="240" w:lineRule="auto"/>
      </w:pPr>
      <w:r>
        <w:separator/>
      </w:r>
    </w:p>
  </w:endnote>
  <w:endnote w:type="continuationSeparator" w:id="0">
    <w:p w14:paraId="74AAA381" w14:textId="77777777" w:rsidR="00FC548E" w:rsidRDefault="00FC548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EVI-GDPR-03 — TEST RAVNOTEŽE LEGITIMNOG INTERESA — FOTOGRAFIRANJE ...</w:t>
          </w:r>
        </w:p>
        <w:p w14:paraId="7C5E83CE" w14:textId="21A0CBDB" w:rsidR="00000000" w:rsidRDefault="00000000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000000" w:rsidRPr="005472B0" w:rsidRDefault="00000000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000000" w:rsidRPr="00CA45E3" w:rsidRDefault="00000000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000000" w:rsidRDefault="00000000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9FD2" w14:textId="77777777" w:rsidR="00FC548E" w:rsidRDefault="00FC548E" w:rsidP="00FC27F1">
      <w:pPr>
        <w:spacing w:after="0" w:line="240" w:lineRule="auto"/>
      </w:pPr>
      <w:r>
        <w:separator/>
      </w:r>
    </w:p>
  </w:footnote>
  <w:footnote w:type="continuationSeparator" w:id="0">
    <w:p w14:paraId="62298D11" w14:textId="77777777" w:rsidR="00FC548E" w:rsidRDefault="00FC548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000000" w:rsidRDefault="00000000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000000" w:rsidRPr="00C40BE8" w:rsidRDefault="00000000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000000" w:rsidRPr="00C40BE8" w:rsidRDefault="00000000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000000" w:rsidRPr="005472B0" w:rsidRDefault="00000000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000000" w:rsidRDefault="00000000" w:rsidP="00137CF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6B83AB12" w14:textId="77777777" w:rsidR="00000000" w:rsidRDefault="00000000" w:rsidP="00137CF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4D"/>
    <w:multiLevelType w:val="multilevel"/>
    <w:tmpl w:val="F39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114D"/>
    <w:multiLevelType w:val="multilevel"/>
    <w:tmpl w:val="B7EA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957507">
    <w:abstractNumId w:val="0"/>
  </w:num>
  <w:num w:numId="2" w16cid:durableId="2110467414">
    <w:abstractNumId w:val="0"/>
  </w:num>
  <w:num w:numId="3" w16cid:durableId="1595046556">
    <w:abstractNumId w:val="0"/>
  </w:num>
  <w:num w:numId="4" w16cid:durableId="1530684934">
    <w:abstractNumId w:val="20"/>
  </w:num>
  <w:num w:numId="5" w16cid:durableId="529268914">
    <w:abstractNumId w:val="20"/>
  </w:num>
  <w:num w:numId="6" w16cid:durableId="181478280">
    <w:abstractNumId w:val="20"/>
  </w:num>
  <w:num w:numId="7" w16cid:durableId="139004381">
    <w:abstractNumId w:val="20"/>
  </w:num>
  <w:num w:numId="8" w16cid:durableId="831679020">
    <w:abstractNumId w:val="20"/>
  </w:num>
  <w:num w:numId="9" w16cid:durableId="1073507014">
    <w:abstractNumId w:val="20"/>
  </w:num>
  <w:num w:numId="10" w16cid:durableId="779955626">
    <w:abstractNumId w:val="6"/>
  </w:num>
  <w:num w:numId="11" w16cid:durableId="1952278717">
    <w:abstractNumId w:val="14"/>
  </w:num>
  <w:num w:numId="12" w16cid:durableId="217010613">
    <w:abstractNumId w:val="1"/>
  </w:num>
  <w:num w:numId="13" w16cid:durableId="454562042">
    <w:abstractNumId w:val="5"/>
  </w:num>
  <w:num w:numId="14" w16cid:durableId="749933188">
    <w:abstractNumId w:val="13"/>
  </w:num>
  <w:num w:numId="15" w16cid:durableId="316345500">
    <w:abstractNumId w:val="18"/>
  </w:num>
  <w:num w:numId="16" w16cid:durableId="768935255">
    <w:abstractNumId w:val="9"/>
  </w:num>
  <w:num w:numId="17" w16cid:durableId="587620630">
    <w:abstractNumId w:val="12"/>
  </w:num>
  <w:num w:numId="18" w16cid:durableId="1159811223">
    <w:abstractNumId w:val="17"/>
  </w:num>
  <w:num w:numId="19" w16cid:durableId="1859850116">
    <w:abstractNumId w:val="8"/>
  </w:num>
  <w:num w:numId="20" w16cid:durableId="2017228670">
    <w:abstractNumId w:val="11"/>
  </w:num>
  <w:num w:numId="21" w16cid:durableId="1718511984">
    <w:abstractNumId w:val="16"/>
  </w:num>
  <w:num w:numId="22" w16cid:durableId="1508248037">
    <w:abstractNumId w:val="7"/>
  </w:num>
  <w:num w:numId="23" w16cid:durableId="128743505">
    <w:abstractNumId w:val="21"/>
  </w:num>
  <w:num w:numId="24" w16cid:durableId="1905336454">
    <w:abstractNumId w:val="2"/>
  </w:num>
  <w:num w:numId="25" w16cid:durableId="1299534686">
    <w:abstractNumId w:val="15"/>
  </w:num>
  <w:num w:numId="26" w16cid:durableId="1018120597">
    <w:abstractNumId w:val="19"/>
  </w:num>
  <w:num w:numId="27" w16cid:durableId="332030431">
    <w:abstractNumId w:val="20"/>
  </w:num>
  <w:num w:numId="28" w16cid:durableId="6954056">
    <w:abstractNumId w:val="20"/>
  </w:num>
  <w:num w:numId="29" w16cid:durableId="1246375325">
    <w:abstractNumId w:val="20"/>
  </w:num>
  <w:num w:numId="30" w16cid:durableId="287205286">
    <w:abstractNumId w:val="20"/>
  </w:num>
  <w:num w:numId="31" w16cid:durableId="462773858">
    <w:abstractNumId w:val="3"/>
  </w:num>
  <w:num w:numId="32" w16cid:durableId="911893580">
    <w:abstractNumId w:val="22"/>
  </w:num>
  <w:num w:numId="33" w16cid:durableId="919412033">
    <w:abstractNumId w:val="4"/>
  </w:num>
  <w:num w:numId="34" w16cid:durableId="32118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2012B4"/>
    <w:rsid w:val="00204476"/>
    <w:rsid w:val="002306BA"/>
    <w:rsid w:val="00255583"/>
    <w:rsid w:val="002559E7"/>
    <w:rsid w:val="00292DC8"/>
    <w:rsid w:val="0029742E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847F5"/>
    <w:rsid w:val="003C38D0"/>
    <w:rsid w:val="003D32BF"/>
    <w:rsid w:val="0042692D"/>
    <w:rsid w:val="00443AAE"/>
    <w:rsid w:val="0044598E"/>
    <w:rsid w:val="004C1629"/>
    <w:rsid w:val="004E0BC8"/>
    <w:rsid w:val="004F1912"/>
    <w:rsid w:val="0051383F"/>
    <w:rsid w:val="00543F67"/>
    <w:rsid w:val="00543F71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23FAF"/>
    <w:rsid w:val="008518C9"/>
    <w:rsid w:val="00864540"/>
    <w:rsid w:val="00883150"/>
    <w:rsid w:val="00890FDC"/>
    <w:rsid w:val="008C1565"/>
    <w:rsid w:val="008F3F65"/>
    <w:rsid w:val="0091514B"/>
    <w:rsid w:val="009233E6"/>
    <w:rsid w:val="00925C21"/>
    <w:rsid w:val="0094027E"/>
    <w:rsid w:val="009509B6"/>
    <w:rsid w:val="009B3324"/>
    <w:rsid w:val="009B4D5D"/>
    <w:rsid w:val="009E2482"/>
    <w:rsid w:val="009F2CA2"/>
    <w:rsid w:val="00A20B81"/>
    <w:rsid w:val="00A6355D"/>
    <w:rsid w:val="00AA3FAC"/>
    <w:rsid w:val="00B10B08"/>
    <w:rsid w:val="00B31084"/>
    <w:rsid w:val="00B35D98"/>
    <w:rsid w:val="00B8047C"/>
    <w:rsid w:val="00BC53FD"/>
    <w:rsid w:val="00BC5C69"/>
    <w:rsid w:val="00BC6A37"/>
    <w:rsid w:val="00C74ADD"/>
    <w:rsid w:val="00C74FF9"/>
    <w:rsid w:val="00C82FCA"/>
    <w:rsid w:val="00CB729E"/>
    <w:rsid w:val="00CD00A5"/>
    <w:rsid w:val="00CF7D9D"/>
    <w:rsid w:val="00D0161B"/>
    <w:rsid w:val="00D137C5"/>
    <w:rsid w:val="00D817A3"/>
    <w:rsid w:val="00DA3FA4"/>
    <w:rsid w:val="00DB04BF"/>
    <w:rsid w:val="00DB2B08"/>
    <w:rsid w:val="00E04BF6"/>
    <w:rsid w:val="00E14A01"/>
    <w:rsid w:val="00E1688D"/>
    <w:rsid w:val="00E71A72"/>
    <w:rsid w:val="00E762F5"/>
    <w:rsid w:val="00EA5B4F"/>
    <w:rsid w:val="00EE41DF"/>
    <w:rsid w:val="00F03A11"/>
    <w:rsid w:val="00F60A71"/>
    <w:rsid w:val="00F862C7"/>
    <w:rsid w:val="00FA0BCB"/>
    <w:rsid w:val="00FC27F1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51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</cp:revision>
  <dcterms:created xsi:type="dcterms:W3CDTF">2021-08-26T10:18:00Z</dcterms:created>
  <dcterms:modified xsi:type="dcterms:W3CDTF">2026-04-11T20:04:00Z</dcterms:modified>
</cp:coreProperties>
</file>